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Calibri" w:cs="Calibri" w:eastAsia="Calibri" w:hAnsi="Calibri"/>
          <w:b/>
          <w:bCs/>
          <w:color w:val="1F3864"/>
          <w:sz w:val="36"/>
          <w:szCs w:val="36"/>
        </w:rPr>
        <w:t xml:space="preserve">DATA PROCESSING AGREEMENT</w:t>
      </w:r>
    </w:p>
    <w:p>
      <w:pPr>
        <w:spacing w:after="60"/>
        <w:jc w:val="center"/>
      </w:pPr>
      <w:r>
        <w:rPr>
          <w:rFonts w:ascii="Calibri" w:cs="Calibri" w:eastAsia="Calibri" w:hAnsi="Calibri"/>
          <w:i/>
          <w:iCs/>
          <w:color w:val="595959"/>
          <w:sz w:val="22"/>
          <w:szCs w:val="22"/>
        </w:rPr>
        <w:t xml:space="preserve">(Including AI Processing Addendum)</w:t>
      </w:r>
    </w:p>
    <w:p>
      <w:pPr>
        <w:spacing w:after="300"/>
        <w:jc w:val="center"/>
      </w:pPr>
      <w:r>
        <w:rPr>
          <w:rFonts w:ascii="Calibri" w:cs="Calibri" w:eastAsia="Calibri" w:hAnsi="Calibri"/>
          <w:color w:val="595959"/>
          <w:sz w:val="18"/>
          <w:szCs w:val="18"/>
        </w:rPr>
        <w:t xml:space="preserve">TrusteraAI Template — 2026 Edition</w:t>
      </w:r>
    </w:p>
    <w:p>
      <w:pPr>
        <w:spacing w:after="160"/>
      </w:pPr>
      <w:r>
        <w:rPr>
          <w:rFonts w:ascii="Calibri" w:cs="Calibri" w:eastAsia="Calibri" w:hAnsi="Calibri"/>
          <w:b/>
          <w:bCs/>
        </w:rPr>
        <w:t xml:space="preserve">How to use this template: </w:t>
      </w:r>
      <w:r>
        <w:rPr>
          <w:rFonts w:ascii="Calibri" w:cs="Calibri" w:eastAsia="Calibri" w:hAnsi="Calibri"/>
        </w:rPr>
        <w:t xml:space="preserve">This agreement can be used in either direction — fill in your own company as the “Controller” when contracting with a vendor that processes data on your behalf, or as the “Processor” when a customer is asking you to sign a DPA for your own SaaS product. Replace every bracketed placeholder, complete Annexes A–D, and route the final draft through your own legal counsel before signature. This template is a starting point, not legal advice.</w:t>
      </w:r>
    </w:p>
    <w:p>
      <w:pPr>
        <w:pBdr>
          <w:bottom w:val="single" w:color="BFBFBF" w:sz="6"/>
        </w:pBdr>
        <w:spacing w:after="120" w:before="120"/>
      </w:pPr>
    </w:p>
    <w:p>
      <w:pPr>
        <w:spacing w:after="160"/>
      </w:pPr>
      <w:r>
        <w:rPr>
          <w:rFonts w:ascii="Calibri" w:cs="Calibri" w:eastAsia="Calibri" w:hAnsi="Calibri"/>
        </w:rPr>
        <w:t xml:space="preserve">This Data Processing Agreement (“</w:t>
      </w:r>
      <w:r>
        <w:rPr>
          <w:rFonts w:ascii="Calibri" w:cs="Calibri" w:eastAsia="Calibri" w:hAnsi="Calibri"/>
          <w:b/>
          <w:bCs/>
        </w:rPr>
        <w:t xml:space="preserve">Agreement</w:t>
      </w:r>
      <w:r>
        <w:rPr>
          <w:rFonts w:ascii="Calibri" w:cs="Calibri" w:eastAsia="Calibri" w:hAnsi="Calibri"/>
        </w:rPr>
        <w:t xml:space="preserve">” or “</w:t>
      </w:r>
      <w:r>
        <w:rPr>
          <w:rFonts w:ascii="Calibri" w:cs="Calibri" w:eastAsia="Calibri" w:hAnsi="Calibri"/>
          <w:b/>
          <w:bCs/>
        </w:rPr>
        <w:t xml:space="preserve">DPA</w:t>
      </w:r>
      <w:r>
        <w:rPr>
          <w:rFonts w:ascii="Calibri" w:cs="Calibri" w:eastAsia="Calibri" w:hAnsi="Calibri"/>
        </w:rPr>
        <w:t xml:space="preserve">”) is entered into as of </w:t>
      </w:r>
      <w:r>
        <w:rPr>
          <w:rFonts w:ascii="Calibri" w:cs="Calibri" w:eastAsia="Calibri" w:hAnsi="Calibri"/>
          <w:i/>
          <w:iCs/>
          <w:color w:val="2E74B5"/>
        </w:rPr>
        <w:t xml:space="preserve">[Effective Date]</w:t>
      </w:r>
      <w:r>
        <w:rPr>
          <w:rFonts w:ascii="Calibri" w:cs="Calibri" w:eastAsia="Calibri" w:hAnsi="Calibri"/>
        </w:rPr>
        <w:t xml:space="preserve"> (the “</w:t>
      </w:r>
      <w:r>
        <w:rPr>
          <w:rFonts w:ascii="Calibri" w:cs="Calibri" w:eastAsia="Calibri" w:hAnsi="Calibri"/>
          <w:b/>
          <w:bCs/>
        </w:rPr>
        <w:t xml:space="preserve">Effective Date</w:t>
      </w:r>
      <w:r>
        <w:rPr>
          <w:rFonts w:ascii="Calibri" w:cs="Calibri" w:eastAsia="Calibri" w:hAnsi="Calibri"/>
        </w:rPr>
        <w:t xml:space="preserve">”) by and between:</w:t>
      </w:r>
    </w:p>
    <w:p>
      <w:pPr>
        <w:spacing w:after="160"/>
      </w:pPr>
      <w:r>
        <w:rPr>
          <w:rFonts w:ascii="Calibri" w:cs="Calibri" w:eastAsia="Calibri" w:hAnsi="Calibri"/>
          <w:b/>
          <w:bCs/>
        </w:rPr>
        <w:t xml:space="preserve">[Company Name]</w:t>
      </w:r>
      <w:r>
        <w:rPr>
          <w:rFonts w:ascii="Calibri" w:cs="Calibri" w:eastAsia="Calibri" w:hAnsi="Calibri"/>
        </w:rPr>
        <w:t xml:space="preserve">, a company organized under the laws of </w:t>
      </w:r>
      <w:r>
        <w:rPr>
          <w:rFonts w:ascii="Calibri" w:cs="Calibri" w:eastAsia="Calibri" w:hAnsi="Calibri"/>
          <w:i/>
          <w:iCs/>
          <w:color w:val="2E74B5"/>
        </w:rPr>
        <w:t xml:space="preserve">[State/Country of Incorporation]</w:t>
      </w:r>
      <w:r>
        <w:rPr>
          <w:rFonts w:ascii="Calibri" w:cs="Calibri" w:eastAsia="Calibri" w:hAnsi="Calibri"/>
        </w:rPr>
        <w:t xml:space="preserve">, with its principal place of business at </w:t>
      </w:r>
      <w:r>
        <w:rPr>
          <w:rFonts w:ascii="Calibri" w:cs="Calibri" w:eastAsia="Calibri" w:hAnsi="Calibri"/>
          <w:i/>
          <w:iCs/>
          <w:color w:val="2E74B5"/>
        </w:rPr>
        <w:t xml:space="preserve">[Company Address]</w:t>
      </w:r>
      <w:r>
        <w:rPr>
          <w:rFonts w:ascii="Calibri" w:cs="Calibri" w:eastAsia="Calibri" w:hAnsi="Calibri"/>
        </w:rPr>
        <w:t xml:space="preserve"> (the “</w:t>
      </w:r>
      <w:r>
        <w:rPr>
          <w:rFonts w:ascii="Calibri" w:cs="Calibri" w:eastAsia="Calibri" w:hAnsi="Calibri"/>
          <w:b/>
          <w:bCs/>
        </w:rPr>
        <w:t xml:space="preserve">Controller</w:t>
      </w:r>
      <w:r>
        <w:rPr>
          <w:rFonts w:ascii="Calibri" w:cs="Calibri" w:eastAsia="Calibri" w:hAnsi="Calibri"/>
        </w:rPr>
        <w:t xml:space="preserve">”); and</w:t>
      </w:r>
    </w:p>
    <w:p>
      <w:pPr>
        <w:spacing w:after="160"/>
      </w:pPr>
      <w:r>
        <w:rPr>
          <w:rFonts w:ascii="Calibri" w:cs="Calibri" w:eastAsia="Calibri" w:hAnsi="Calibri"/>
          <w:b/>
          <w:bCs/>
        </w:rPr>
        <w:t xml:space="preserve">[Vendor/Customer Name]</w:t>
      </w:r>
      <w:r>
        <w:rPr>
          <w:rFonts w:ascii="Calibri" w:cs="Calibri" w:eastAsia="Calibri" w:hAnsi="Calibri"/>
        </w:rPr>
        <w:t xml:space="preserve">, a company organized under the laws of </w:t>
      </w:r>
      <w:r>
        <w:rPr>
          <w:rFonts w:ascii="Calibri" w:cs="Calibri" w:eastAsia="Calibri" w:hAnsi="Calibri"/>
          <w:i/>
          <w:iCs/>
          <w:color w:val="2E74B5"/>
        </w:rPr>
        <w:t xml:space="preserve">[State/Country of Incorporation]</w:t>
      </w:r>
      <w:r>
        <w:rPr>
          <w:rFonts w:ascii="Calibri" w:cs="Calibri" w:eastAsia="Calibri" w:hAnsi="Calibri"/>
        </w:rPr>
        <w:t xml:space="preserve">, with its principal place of business at </w:t>
      </w:r>
      <w:r>
        <w:rPr>
          <w:rFonts w:ascii="Calibri" w:cs="Calibri" w:eastAsia="Calibri" w:hAnsi="Calibri"/>
          <w:i/>
          <w:iCs/>
          <w:color w:val="2E74B5"/>
        </w:rPr>
        <w:t xml:space="preserve">[Vendor/Customer Address]</w:t>
      </w:r>
      <w:r>
        <w:rPr>
          <w:rFonts w:ascii="Calibri" w:cs="Calibri" w:eastAsia="Calibri" w:hAnsi="Calibri"/>
        </w:rPr>
        <w:t xml:space="preserve"> (the “</w:t>
      </w:r>
      <w:r>
        <w:rPr>
          <w:rFonts w:ascii="Calibri" w:cs="Calibri" w:eastAsia="Calibri" w:hAnsi="Calibri"/>
          <w:b/>
          <w:bCs/>
        </w:rPr>
        <w:t xml:space="preserve">Processor</w:t>
      </w:r>
      <w:r>
        <w:rPr>
          <w:rFonts w:ascii="Calibri" w:cs="Calibri" w:eastAsia="Calibri" w:hAnsi="Calibri"/>
        </w:rPr>
        <w:t xml:space="preserve">”),</w:t>
      </w:r>
    </w:p>
    <w:p>
      <w:pPr>
        <w:spacing w:after="160"/>
      </w:pPr>
      <w:r>
        <w:rPr>
          <w:rFonts w:ascii="Calibri" w:cs="Calibri" w:eastAsia="Calibri" w:hAnsi="Calibri"/>
        </w:rPr>
        <w:t xml:space="preserve">each a “</w:t>
      </w:r>
      <w:r>
        <w:rPr>
          <w:rFonts w:ascii="Calibri" w:cs="Calibri" w:eastAsia="Calibri" w:hAnsi="Calibri"/>
          <w:b/>
          <w:bCs/>
        </w:rPr>
        <w:t xml:space="preserve">Party</w:t>
      </w:r>
      <w:r>
        <w:rPr>
          <w:rFonts w:ascii="Calibri" w:cs="Calibri" w:eastAsia="Calibri" w:hAnsi="Calibri"/>
        </w:rPr>
        <w:t xml:space="preserve">” and together the “</w:t>
      </w:r>
      <w:r>
        <w:rPr>
          <w:rFonts w:ascii="Calibri" w:cs="Calibri" w:eastAsia="Calibri" w:hAnsi="Calibri"/>
          <w:b/>
          <w:bCs/>
        </w:rPr>
        <w:t xml:space="preserve">Parties</w:t>
      </w:r>
      <w:r>
        <w:rPr>
          <w:rFonts w:ascii="Calibri" w:cs="Calibri" w:eastAsia="Calibri" w:hAnsi="Calibri"/>
        </w:rPr>
        <w:t xml:space="preserve">”.</w:t>
      </w:r>
    </w:p>
    <w:p>
      <w:pPr>
        <w:spacing w:after="160"/>
      </w:pPr>
      <w:r>
        <w:rPr>
          <w:rFonts w:ascii="Calibri" w:cs="Calibri" w:eastAsia="Calibri" w:hAnsi="Calibri"/>
        </w:rPr>
        <w:t xml:space="preserve">This Agreement supplements and forms part of the </w:t>
      </w:r>
      <w:r>
        <w:rPr>
          <w:rFonts w:ascii="Calibri" w:cs="Calibri" w:eastAsia="Calibri" w:hAnsi="Calibri"/>
          <w:i/>
          <w:iCs/>
          <w:color w:val="2E74B5"/>
        </w:rPr>
        <w:t xml:space="preserve">[Master Services Agreement / Terms of Service / Subscription Agreement]</w:t>
      </w:r>
      <w:r>
        <w:rPr>
          <w:rFonts w:ascii="Calibri" w:cs="Calibri" w:eastAsia="Calibri" w:hAnsi="Calibri"/>
        </w:rPr>
        <w:t xml:space="preserve"> dated </w:t>
      </w:r>
      <w:r>
        <w:rPr>
          <w:rFonts w:ascii="Calibri" w:cs="Calibri" w:eastAsia="Calibri" w:hAnsi="Calibri"/>
          <w:i/>
          <w:iCs/>
          <w:color w:val="2E74B5"/>
        </w:rPr>
        <w:t xml:space="preserve">[Date]</w:t>
      </w:r>
      <w:r>
        <w:rPr>
          <w:rFonts w:ascii="Calibri" w:cs="Calibri" w:eastAsia="Calibri" w:hAnsi="Calibri"/>
        </w:rPr>
        <w:t xml:space="preserve"> between the Parties (the “</w:t>
      </w:r>
      <w:r>
        <w:rPr>
          <w:rFonts w:ascii="Calibri" w:cs="Calibri" w:eastAsia="Calibri" w:hAnsi="Calibri"/>
          <w:b/>
          <w:bCs/>
        </w:rPr>
        <w:t xml:space="preserve">Principal Agreement</w:t>
      </w:r>
      <w:r>
        <w:rPr>
          <w:rFonts w:ascii="Calibri" w:cs="Calibri" w:eastAsia="Calibri" w:hAnsi="Calibri"/>
        </w:rPr>
        <w:t xml:space="preserve">”), and governs the processing of personal data carried out by the Processor on behalf of the Controller in connection with the services provided under the Principal Agreement.</w:t>
      </w:r>
    </w:p>
    <w:p>
      <w:r>
        <w:br w:type="page"/>
      </w:r>
    </w:p>
    <w:p>
      <w:pPr>
        <w:pStyle w:val="Heading1"/>
        <w:spacing w:after="160" w:before="320"/>
      </w:pPr>
      <w:r>
        <w:rPr>
          <w:rFonts w:ascii="Calibri" w:cs="Calibri" w:eastAsia="Calibri" w:hAnsi="Calibri"/>
          <w:b/>
          <w:bCs/>
          <w:color w:val="1F3864"/>
          <w:sz w:val="26"/>
          <w:szCs w:val="26"/>
        </w:rPr>
        <w:t xml:space="preserve">1. Definitions</w:t>
      </w:r>
    </w:p>
    <w:p>
      <w:pPr>
        <w:spacing w:after="160"/>
      </w:pPr>
      <w:r>
        <w:rPr>
          <w:rFonts w:ascii="Calibri" w:cs="Calibri" w:eastAsia="Calibri" w:hAnsi="Calibri"/>
        </w:rPr>
        <w:t xml:space="preserve">Unless otherwise defined in this Agreement, capitalized terms have the meanings given to them in the GDPR. For the purposes of this Agreement:</w:t>
      </w:r>
    </w:p>
    <w:p>
      <w:pPr>
        <w:tabs>
          <w:tab w:val="left" w:pos="431"/>
        </w:tabs>
        <w:spacing w:after="140"/>
        <w:ind w:left="431" w:hanging="431"/>
      </w:pPr>
      <w:r>
        <w:rPr>
          <w:rFonts w:ascii="Calibri" w:cs="Calibri" w:eastAsia="Calibri" w:hAnsi="Calibri"/>
          <w:b/>
          <w:bCs/>
        </w:rPr>
        <w:t xml:space="preserve">1.1	</w:t>
      </w:r>
      <w:r>
        <w:rPr>
          <w:rFonts w:ascii="Calibri" w:cs="Calibri" w:eastAsia="Calibri" w:hAnsi="Calibri"/>
          <w:b/>
          <w:bCs/>
        </w:rPr>
        <w:t xml:space="preserve">“GDPR”</w:t>
      </w:r>
      <w:r>
        <w:rPr>
          <w:rFonts w:ascii="Calibri" w:cs="Calibri" w:eastAsia="Calibri" w:hAnsi="Calibri"/>
        </w:rPr>
        <w:t xml:space="preserve"> means Regulation (EU) 2016/679 of the European Parliament and of the Council of 27 April 2016, as transposed or supplemented by applicable Member State law, including the laws of Spain.</w:t>
      </w:r>
    </w:p>
    <w:p>
      <w:pPr>
        <w:tabs>
          <w:tab w:val="left" w:pos="431"/>
        </w:tabs>
        <w:spacing w:after="140"/>
        <w:ind w:left="431" w:hanging="431"/>
      </w:pPr>
      <w:r>
        <w:rPr>
          <w:rFonts w:ascii="Calibri" w:cs="Calibri" w:eastAsia="Calibri" w:hAnsi="Calibri"/>
          <w:b/>
          <w:bCs/>
        </w:rPr>
        <w:t xml:space="preserve">1.2	</w:t>
      </w:r>
      <w:r>
        <w:rPr>
          <w:rFonts w:ascii="Calibri" w:cs="Calibri" w:eastAsia="Calibri" w:hAnsi="Calibri"/>
          <w:b/>
          <w:bCs/>
        </w:rPr>
        <w:t xml:space="preserve">“Personal Data”</w:t>
      </w:r>
      <w:r>
        <w:rPr>
          <w:rFonts w:ascii="Calibri" w:cs="Calibri" w:eastAsia="Calibri" w:hAnsi="Calibri"/>
        </w:rPr>
        <w:t xml:space="preserve">, “Processing”, “Controller”, “Processor”, “Data Subject”, “Supervisory Authority”, and “Personal Data Breach” have the meanings given in Article 4 GDPR.</w:t>
      </w:r>
    </w:p>
    <w:p>
      <w:pPr>
        <w:tabs>
          <w:tab w:val="left" w:pos="431"/>
        </w:tabs>
        <w:spacing w:after="140"/>
        <w:ind w:left="431" w:hanging="431"/>
      </w:pPr>
      <w:r>
        <w:rPr>
          <w:rFonts w:ascii="Calibri" w:cs="Calibri" w:eastAsia="Calibri" w:hAnsi="Calibri"/>
          <w:b/>
          <w:bCs/>
        </w:rPr>
        <w:t xml:space="preserve">1.3	</w:t>
      </w:r>
      <w:r>
        <w:rPr>
          <w:rFonts w:ascii="Calibri" w:cs="Calibri" w:eastAsia="Calibri" w:hAnsi="Calibri"/>
          <w:b/>
          <w:bCs/>
        </w:rPr>
        <w:t xml:space="preserve">“Sub-processor”</w:t>
      </w:r>
      <w:r>
        <w:rPr>
          <w:rFonts w:ascii="Calibri" w:cs="Calibri" w:eastAsia="Calibri" w:hAnsi="Calibri"/>
        </w:rPr>
        <w:t xml:space="preserve"> means any third party engaged by the Processor to process Personal Data on behalf of the Controller in connection with this Agreement, including any AI System Provider engaged under Annex D.</w:t>
      </w:r>
    </w:p>
    <w:p>
      <w:pPr>
        <w:tabs>
          <w:tab w:val="left" w:pos="431"/>
        </w:tabs>
        <w:spacing w:after="140"/>
        <w:ind w:left="431" w:hanging="431"/>
      </w:pPr>
      <w:r>
        <w:rPr>
          <w:rFonts w:ascii="Calibri" w:cs="Calibri" w:eastAsia="Calibri" w:hAnsi="Calibri"/>
          <w:b/>
          <w:bCs/>
        </w:rPr>
        <w:t xml:space="preserve">1.4	</w:t>
      </w:r>
      <w:r>
        <w:rPr>
          <w:rFonts w:ascii="Calibri" w:cs="Calibri" w:eastAsia="Calibri" w:hAnsi="Calibri"/>
          <w:b/>
          <w:bCs/>
        </w:rPr>
        <w:t xml:space="preserve">“AI System”</w:t>
      </w:r>
      <w:r>
        <w:rPr>
          <w:rFonts w:ascii="Calibri" w:cs="Calibri" w:eastAsia="Calibri" w:hAnsi="Calibri"/>
        </w:rPr>
        <w:t xml:space="preserve"> means any machine learning model, generative AI tool, automated decision-making system, or similar technology used by the Processor to process Personal Data under this Agreement, whether developed by the Processor or licensed from a third-party AI System Provider.</w:t>
      </w:r>
    </w:p>
    <w:p>
      <w:pPr>
        <w:tabs>
          <w:tab w:val="left" w:pos="431"/>
        </w:tabs>
        <w:spacing w:after="140"/>
        <w:ind w:left="431" w:hanging="431"/>
      </w:pPr>
      <w:r>
        <w:rPr>
          <w:rFonts w:ascii="Calibri" w:cs="Calibri" w:eastAsia="Calibri" w:hAnsi="Calibri"/>
          <w:b/>
          <w:bCs/>
        </w:rPr>
        <w:t xml:space="preserve">1.5	</w:t>
      </w:r>
      <w:r>
        <w:rPr>
          <w:rFonts w:ascii="Calibri" w:cs="Calibri" w:eastAsia="Calibri" w:hAnsi="Calibri"/>
          <w:b/>
          <w:bCs/>
        </w:rPr>
        <w:t xml:space="preserve">“AI System Provider”</w:t>
      </w:r>
      <w:r>
        <w:rPr>
          <w:rFonts w:ascii="Calibri" w:cs="Calibri" w:eastAsia="Calibri" w:hAnsi="Calibri"/>
        </w:rPr>
        <w:t xml:space="preserve"> means a Sub-processor that supplies or operates an AI System used by the Processor to process Personal Data under this Agreement.</w:t>
      </w:r>
    </w:p>
    <w:p>
      <w:pPr>
        <w:tabs>
          <w:tab w:val="left" w:pos="431"/>
        </w:tabs>
        <w:spacing w:after="140"/>
        <w:ind w:left="431" w:hanging="431"/>
      </w:pPr>
      <w:r>
        <w:rPr>
          <w:rFonts w:ascii="Calibri" w:cs="Calibri" w:eastAsia="Calibri" w:hAnsi="Calibri"/>
          <w:b/>
          <w:bCs/>
        </w:rPr>
        <w:t xml:space="preserve">1.6	</w:t>
      </w:r>
      <w:r>
        <w:rPr>
          <w:rFonts w:ascii="Calibri" w:cs="Calibri" w:eastAsia="Calibri" w:hAnsi="Calibri"/>
          <w:b/>
          <w:bCs/>
        </w:rPr>
        <w:t xml:space="preserve">“Standard Contractual Clauses” or “SCCs”</w:t>
      </w:r>
      <w:r>
        <w:rPr>
          <w:rFonts w:ascii="Calibri" w:cs="Calibri" w:eastAsia="Calibri" w:hAnsi="Calibri"/>
        </w:rPr>
        <w:t xml:space="preserve"> means the standard contractual clauses for the transfer of personal data to third countries approved by the European Commission, as may be updated from time to time.</w:t>
      </w:r>
    </w:p>
    <w:p>
      <w:pPr>
        <w:pStyle w:val="Heading1"/>
        <w:spacing w:after="160" w:before="320"/>
      </w:pPr>
      <w:r>
        <w:rPr>
          <w:rFonts w:ascii="Calibri" w:cs="Calibri" w:eastAsia="Calibri" w:hAnsi="Calibri"/>
          <w:b/>
          <w:bCs/>
          <w:color w:val="1F3864"/>
          <w:sz w:val="26"/>
          <w:szCs w:val="26"/>
        </w:rPr>
        <w:t xml:space="preserve">2. Roles of the Parties and Scope</w:t>
      </w:r>
    </w:p>
    <w:p>
      <w:pPr>
        <w:tabs>
          <w:tab w:val="left" w:pos="431"/>
        </w:tabs>
        <w:spacing w:after="140"/>
        <w:ind w:left="431" w:hanging="431"/>
      </w:pPr>
      <w:r>
        <w:rPr>
          <w:rFonts w:ascii="Calibri" w:cs="Calibri" w:eastAsia="Calibri" w:hAnsi="Calibri"/>
          <w:b/>
          <w:bCs/>
        </w:rPr>
        <w:t xml:space="preserve">2.1	</w:t>
      </w:r>
      <w:r>
        <w:rPr>
          <w:rFonts w:ascii="Calibri" w:cs="Calibri" w:eastAsia="Calibri" w:hAnsi="Calibri"/>
        </w:rPr>
        <w:t xml:space="preserve">The Parties acknowledge that, in relation to the Processing of Personal Data under the Principal Agreement, the Controller is a controller and the Processor is a processor, each as defined under the GDPR.</w:t>
      </w:r>
    </w:p>
    <w:p>
      <w:pPr>
        <w:tabs>
          <w:tab w:val="left" w:pos="431"/>
        </w:tabs>
        <w:spacing w:after="140"/>
        <w:ind w:left="431" w:hanging="431"/>
      </w:pPr>
      <w:r>
        <w:rPr>
          <w:rFonts w:ascii="Calibri" w:cs="Calibri" w:eastAsia="Calibri" w:hAnsi="Calibri"/>
          <w:b/>
          <w:bCs/>
        </w:rPr>
        <w:t xml:space="preserve">2.2	</w:t>
      </w:r>
      <w:r>
        <w:rPr>
          <w:rFonts w:ascii="Calibri" w:cs="Calibri" w:eastAsia="Calibri" w:hAnsi="Calibri"/>
        </w:rPr>
        <w:t xml:space="preserve">Where the Processor engages a third party to provide an AI System used in the Processing, and that AI System Provider processes Personal Data on terms the Processor does not control, the Parties shall document that relationship in Annex B and, where applicable, Annex D.</w:t>
      </w:r>
    </w:p>
    <w:p>
      <w:pPr>
        <w:tabs>
          <w:tab w:val="left" w:pos="431"/>
        </w:tabs>
        <w:spacing w:after="140"/>
        <w:ind w:left="431" w:hanging="431"/>
      </w:pPr>
      <w:r>
        <w:rPr>
          <w:rFonts w:ascii="Calibri" w:cs="Calibri" w:eastAsia="Calibri" w:hAnsi="Calibri"/>
          <w:b/>
          <w:bCs/>
        </w:rPr>
        <w:t xml:space="preserve">2.3	</w:t>
      </w:r>
      <w:r>
        <w:rPr>
          <w:rFonts w:ascii="Calibri" w:cs="Calibri" w:eastAsia="Calibri" w:hAnsi="Calibri"/>
        </w:rPr>
        <w:t xml:space="preserve">This Agreement applies to all Processing of Personal Data carried out by the Processor, its personnel, and its Sub-processors on behalf of the Controller in connection with the Principal Agreement, including Processing carried out using any AI System.</w:t>
      </w:r>
    </w:p>
    <w:p>
      <w:pPr>
        <w:tabs>
          <w:tab w:val="left" w:pos="431"/>
        </w:tabs>
        <w:spacing w:after="140"/>
        <w:ind w:left="431" w:hanging="431"/>
      </w:pPr>
      <w:r>
        <w:rPr>
          <w:rFonts w:ascii="Calibri" w:cs="Calibri" w:eastAsia="Calibri" w:hAnsi="Calibri"/>
          <w:b/>
          <w:bCs/>
        </w:rPr>
        <w:t xml:space="preserve">2.4	</w:t>
      </w:r>
      <w:r>
        <w:rPr>
          <w:rFonts w:ascii="Calibri" w:cs="Calibri" w:eastAsia="Calibri" w:hAnsi="Calibri"/>
        </w:rPr>
        <w:t xml:space="preserve">The subject matter, duration, nature, purpose, types of Personal Data, and categories of Data Subjects of the Processing are set out in </w:t>
      </w:r>
      <w:r>
        <w:rPr>
          <w:rFonts w:ascii="Calibri" w:cs="Calibri" w:eastAsia="Calibri" w:hAnsi="Calibri"/>
          <w:b/>
          <w:bCs/>
        </w:rPr>
        <w:t xml:space="preserve">Annex A</w:t>
      </w:r>
      <w:r>
        <w:rPr>
          <w:rFonts w:ascii="Calibri" w:cs="Calibri" w:eastAsia="Calibri" w:hAnsi="Calibri"/>
        </w:rPr>
        <w:t xml:space="preserve">.</w:t>
      </w:r>
    </w:p>
    <w:p>
      <w:pPr>
        <w:pStyle w:val="Heading1"/>
        <w:spacing w:after="160" w:before="320"/>
      </w:pPr>
      <w:r>
        <w:rPr>
          <w:rFonts w:ascii="Calibri" w:cs="Calibri" w:eastAsia="Calibri" w:hAnsi="Calibri"/>
          <w:b/>
          <w:bCs/>
          <w:color w:val="1F3864"/>
          <w:sz w:val="26"/>
          <w:szCs w:val="26"/>
        </w:rPr>
        <w:t xml:space="preserve">3. Processor Obligations</w:t>
      </w:r>
    </w:p>
    <w:p>
      <w:pPr>
        <w:spacing w:after="160"/>
      </w:pPr>
      <w:r>
        <w:rPr>
          <w:rFonts w:ascii="Calibri" w:cs="Calibri" w:eastAsia="Calibri" w:hAnsi="Calibri"/>
        </w:rPr>
        <w:t xml:space="preserve">The Processor shall:</w:t>
      </w:r>
    </w:p>
    <w:p>
      <w:pPr>
        <w:tabs>
          <w:tab w:val="left" w:pos="431"/>
        </w:tabs>
        <w:spacing w:after="140"/>
        <w:ind w:left="431" w:hanging="431"/>
      </w:pPr>
      <w:r>
        <w:rPr>
          <w:rFonts w:ascii="Calibri" w:cs="Calibri" w:eastAsia="Calibri" w:hAnsi="Calibri"/>
          <w:b/>
          <w:bCs/>
        </w:rPr>
        <w:t xml:space="preserve">3.1	</w:t>
      </w:r>
      <w:r>
        <w:rPr>
          <w:rFonts w:ascii="Calibri" w:cs="Calibri" w:eastAsia="Calibri" w:hAnsi="Calibri"/>
        </w:rPr>
        <w:t xml:space="preserve">process Personal Data only on documented instructions from the Controller, including with regard to transfers of Personal Data to a third country, unless required to do so by applicable law, in which case the Processor shall inform the Controller of that legal requirement before processing, unless that law prohibits such information on important grounds of public interest;</w:t>
      </w:r>
    </w:p>
    <w:p>
      <w:pPr>
        <w:tabs>
          <w:tab w:val="left" w:pos="431"/>
        </w:tabs>
        <w:spacing w:after="140"/>
        <w:ind w:left="431" w:hanging="431"/>
      </w:pPr>
      <w:r>
        <w:rPr>
          <w:rFonts w:ascii="Calibri" w:cs="Calibri" w:eastAsia="Calibri" w:hAnsi="Calibri"/>
          <w:b/>
          <w:bCs/>
        </w:rPr>
        <w:t xml:space="preserve">3.2	</w:t>
      </w:r>
      <w:r>
        <w:rPr>
          <w:rFonts w:ascii="Calibri" w:cs="Calibri" w:eastAsia="Calibri" w:hAnsi="Calibri"/>
        </w:rPr>
        <w:t xml:space="preserve">ensure that persons authorized to process Personal Data have committed themselves to confidentiality or are under an appropriate statutory obligation of confidentiality;</w:t>
      </w:r>
    </w:p>
    <w:p>
      <w:pPr>
        <w:tabs>
          <w:tab w:val="left" w:pos="431"/>
        </w:tabs>
        <w:spacing w:after="140"/>
        <w:ind w:left="431" w:hanging="431"/>
      </w:pPr>
      <w:r>
        <w:rPr>
          <w:rFonts w:ascii="Calibri" w:cs="Calibri" w:eastAsia="Calibri" w:hAnsi="Calibri"/>
          <w:b/>
          <w:bCs/>
        </w:rPr>
        <w:t xml:space="preserve">3.3	</w:t>
      </w:r>
      <w:r>
        <w:rPr>
          <w:rFonts w:ascii="Calibri" w:cs="Calibri" w:eastAsia="Calibri" w:hAnsi="Calibri"/>
        </w:rPr>
        <w:t xml:space="preserve">implement appropriate technical and organizational measures to ensure a level of security appropriate to the risk, as set out in </w:t>
      </w:r>
      <w:r>
        <w:rPr>
          <w:rFonts w:ascii="Calibri" w:cs="Calibri" w:eastAsia="Calibri" w:hAnsi="Calibri"/>
          <w:b/>
          <w:bCs/>
        </w:rPr>
        <w:t xml:space="preserve">Annex C</w:t>
      </w:r>
      <w:r>
        <w:rPr>
          <w:rFonts w:ascii="Calibri" w:cs="Calibri" w:eastAsia="Calibri" w:hAnsi="Calibri"/>
        </w:rPr>
        <w:t xml:space="preserve">, in accordance with Article 32 GDPR;</w:t>
      </w:r>
    </w:p>
    <w:p>
      <w:pPr>
        <w:tabs>
          <w:tab w:val="left" w:pos="431"/>
        </w:tabs>
        <w:spacing w:after="140"/>
        <w:ind w:left="431" w:hanging="431"/>
      </w:pPr>
      <w:r>
        <w:rPr>
          <w:rFonts w:ascii="Calibri" w:cs="Calibri" w:eastAsia="Calibri" w:hAnsi="Calibri"/>
          <w:b/>
          <w:bCs/>
        </w:rPr>
        <w:t xml:space="preserve">3.4	</w:t>
      </w:r>
      <w:r>
        <w:rPr>
          <w:rFonts w:ascii="Calibri" w:cs="Calibri" w:eastAsia="Calibri" w:hAnsi="Calibri"/>
        </w:rPr>
        <w:t xml:space="preserve">not engage another processor (a Sub-processor) without prior specific or general written authorization of the Controller, in accordance with Section 4 below;</w:t>
      </w:r>
    </w:p>
    <w:p>
      <w:pPr>
        <w:tabs>
          <w:tab w:val="left" w:pos="431"/>
        </w:tabs>
        <w:spacing w:after="140"/>
        <w:ind w:left="431" w:hanging="431"/>
      </w:pPr>
      <w:r>
        <w:rPr>
          <w:rFonts w:ascii="Calibri" w:cs="Calibri" w:eastAsia="Calibri" w:hAnsi="Calibri"/>
          <w:b/>
          <w:bCs/>
        </w:rPr>
        <w:t xml:space="preserve">3.5	</w:t>
      </w:r>
      <w:r>
        <w:rPr>
          <w:rFonts w:ascii="Calibri" w:cs="Calibri" w:eastAsia="Calibri" w:hAnsi="Calibri"/>
        </w:rPr>
        <w:t xml:space="preserve">taking into account the nature of the Processing, assist the Controller by appropriate technical and organizational measures, insofar as this is possible, for the fulfilment of the Controller’s obligation to respond to requests for exercising Data Subject rights;</w:t>
      </w:r>
    </w:p>
    <w:p>
      <w:pPr>
        <w:tabs>
          <w:tab w:val="left" w:pos="431"/>
        </w:tabs>
        <w:spacing w:after="140"/>
        <w:ind w:left="431" w:hanging="431"/>
      </w:pPr>
      <w:r>
        <w:rPr>
          <w:rFonts w:ascii="Calibri" w:cs="Calibri" w:eastAsia="Calibri" w:hAnsi="Calibri"/>
          <w:b/>
          <w:bCs/>
        </w:rPr>
        <w:t xml:space="preserve">3.6	</w:t>
      </w:r>
      <w:r>
        <w:rPr>
          <w:rFonts w:ascii="Calibri" w:cs="Calibri" w:eastAsia="Calibri" w:hAnsi="Calibri"/>
        </w:rPr>
        <w:t xml:space="preserve">assist the Controller in ensuring compliance with its obligations under Articles 32 to 36 GDPR, taking into account the nature of Processing and the information available to the Processor;</w:t>
      </w:r>
    </w:p>
    <w:p>
      <w:pPr>
        <w:tabs>
          <w:tab w:val="left" w:pos="431"/>
        </w:tabs>
        <w:spacing w:after="140"/>
        <w:ind w:left="431" w:hanging="431"/>
      </w:pPr>
      <w:r>
        <w:rPr>
          <w:rFonts w:ascii="Calibri" w:cs="Calibri" w:eastAsia="Calibri" w:hAnsi="Calibri"/>
          <w:b/>
          <w:bCs/>
        </w:rPr>
        <w:t xml:space="preserve">3.7	</w:t>
      </w:r>
      <w:r>
        <w:rPr>
          <w:rFonts w:ascii="Calibri" w:cs="Calibri" w:eastAsia="Calibri" w:hAnsi="Calibri"/>
        </w:rPr>
        <w:t xml:space="preserve">at the Controller’s election, delete or return all Personal Data to the Controller after the end of the provision of services, and delete existing copies unless applicable law requires storage of the Personal Data, in accordance with Section 9;</w:t>
      </w:r>
    </w:p>
    <w:p>
      <w:pPr>
        <w:tabs>
          <w:tab w:val="left" w:pos="431"/>
        </w:tabs>
        <w:spacing w:after="140"/>
        <w:ind w:left="431" w:hanging="431"/>
      </w:pPr>
      <w:r>
        <w:rPr>
          <w:rFonts w:ascii="Calibri" w:cs="Calibri" w:eastAsia="Calibri" w:hAnsi="Calibri"/>
          <w:b/>
          <w:bCs/>
        </w:rPr>
        <w:t xml:space="preserve">3.8	</w:t>
      </w:r>
      <w:r>
        <w:rPr>
          <w:rFonts w:ascii="Calibri" w:cs="Calibri" w:eastAsia="Calibri" w:hAnsi="Calibri"/>
        </w:rPr>
        <w:t xml:space="preserve">make available to the Controller all information necessary to demonstrate compliance with the obligations in this Section 3, and allow for and contribute to audits, including inspections, conducted by the Controller or another auditor mandated by the Controller, in accordance with Section 8.</w:t>
      </w:r>
    </w:p>
    <w:p>
      <w:pPr>
        <w:pStyle w:val="Heading1"/>
        <w:spacing w:after="160" w:before="320"/>
      </w:pPr>
      <w:r>
        <w:rPr>
          <w:rFonts w:ascii="Calibri" w:cs="Calibri" w:eastAsia="Calibri" w:hAnsi="Calibri"/>
          <w:b/>
          <w:bCs/>
          <w:color w:val="1F3864"/>
          <w:sz w:val="26"/>
          <w:szCs w:val="26"/>
        </w:rPr>
        <w:t xml:space="preserve">4. Sub-processors</w:t>
      </w:r>
    </w:p>
    <w:p>
      <w:pPr>
        <w:tabs>
          <w:tab w:val="left" w:pos="431"/>
        </w:tabs>
        <w:spacing w:after="140"/>
        <w:ind w:left="431" w:hanging="431"/>
      </w:pPr>
      <w:r>
        <w:rPr>
          <w:rFonts w:ascii="Calibri" w:cs="Calibri" w:eastAsia="Calibri" w:hAnsi="Calibri"/>
          <w:b/>
          <w:bCs/>
        </w:rPr>
        <w:t xml:space="preserve">4.1	</w:t>
      </w:r>
      <w:r>
        <w:rPr>
          <w:rFonts w:ascii="Calibri" w:cs="Calibri" w:eastAsia="Calibri" w:hAnsi="Calibri"/>
        </w:rPr>
        <w:t xml:space="preserve">The Controller provides the Processor with general written authorization to engage Sub-processors, including AI System Providers, provided that the Processor maintains an up-to-date list of its Sub-processors, as set out in </w:t>
      </w:r>
      <w:r>
        <w:rPr>
          <w:rFonts w:ascii="Calibri" w:cs="Calibri" w:eastAsia="Calibri" w:hAnsi="Calibri"/>
          <w:b/>
          <w:bCs/>
        </w:rPr>
        <w:t xml:space="preserve">Annex B</w:t>
      </w:r>
      <w:r>
        <w:rPr>
          <w:rFonts w:ascii="Calibri" w:cs="Calibri" w:eastAsia="Calibri" w:hAnsi="Calibri"/>
        </w:rPr>
        <w:t xml:space="preserve">, and notifies the Controller of any intended changes concerning the addition or replacement of Sub-processors.</w:t>
      </w:r>
    </w:p>
    <w:p>
      <w:pPr>
        <w:tabs>
          <w:tab w:val="left" w:pos="431"/>
        </w:tabs>
        <w:spacing w:after="140"/>
        <w:ind w:left="431" w:hanging="431"/>
      </w:pPr>
      <w:r>
        <w:rPr>
          <w:rFonts w:ascii="Calibri" w:cs="Calibri" w:eastAsia="Calibri" w:hAnsi="Calibri"/>
          <w:b/>
          <w:bCs/>
        </w:rPr>
        <w:t xml:space="preserve">4.2	</w:t>
      </w:r>
      <w:r>
        <w:rPr>
          <w:rFonts w:ascii="Calibri" w:cs="Calibri" w:eastAsia="Calibri" w:hAnsi="Calibri"/>
        </w:rPr>
        <w:t xml:space="preserve">The Controller may object to the engagement of a new Sub-processor on reasonable grounds relating to data protection within </w:t>
      </w:r>
      <w:r>
        <w:rPr>
          <w:rFonts w:ascii="Calibri" w:cs="Calibri" w:eastAsia="Calibri" w:hAnsi="Calibri"/>
          <w:i/>
          <w:iCs/>
          <w:color w:val="2E74B5"/>
        </w:rPr>
        <w:t xml:space="preserve">[14]</w:t>
      </w:r>
      <w:r>
        <w:rPr>
          <w:rFonts w:ascii="Calibri" w:cs="Calibri" w:eastAsia="Calibri" w:hAnsi="Calibri"/>
        </w:rPr>
        <w:t xml:space="preserve"> days of notification. If the Parties are unable to resolve the objection, either Party may terminate this Agreement with respect to the services that require use of the objected-to Sub-processor.</w:t>
      </w:r>
    </w:p>
    <w:p>
      <w:pPr>
        <w:tabs>
          <w:tab w:val="left" w:pos="431"/>
        </w:tabs>
        <w:spacing w:after="140"/>
        <w:ind w:left="431" w:hanging="431"/>
      </w:pPr>
      <w:r>
        <w:rPr>
          <w:rFonts w:ascii="Calibri" w:cs="Calibri" w:eastAsia="Calibri" w:hAnsi="Calibri"/>
          <w:b/>
          <w:bCs/>
        </w:rPr>
        <w:t xml:space="preserve">4.3	</w:t>
      </w:r>
      <w:r>
        <w:rPr>
          <w:rFonts w:ascii="Calibri" w:cs="Calibri" w:eastAsia="Calibri" w:hAnsi="Calibri"/>
        </w:rPr>
        <w:t xml:space="preserve">Where the Processor engages a Sub-processor to carry out specific Processing activities on behalf of the Controller, the same data protection obligations set out in this Agreement shall be imposed on that Sub-processor by way of a contract, in particular providing sufficient guarantees to implement appropriate technical and organizational measures.</w:t>
      </w:r>
    </w:p>
    <w:p>
      <w:pPr>
        <w:tabs>
          <w:tab w:val="left" w:pos="431"/>
        </w:tabs>
        <w:spacing w:after="140"/>
        <w:ind w:left="431" w:hanging="431"/>
      </w:pPr>
      <w:r>
        <w:rPr>
          <w:rFonts w:ascii="Calibri" w:cs="Calibri" w:eastAsia="Calibri" w:hAnsi="Calibri"/>
          <w:b/>
          <w:bCs/>
        </w:rPr>
        <w:t xml:space="preserve">4.4	</w:t>
      </w:r>
      <w:r>
        <w:rPr>
          <w:rFonts w:ascii="Calibri" w:cs="Calibri" w:eastAsia="Calibri" w:hAnsi="Calibri"/>
        </w:rPr>
        <w:t xml:space="preserve">The Processor shall remain fully liable to the Controller for the performance of a Sub-processor’s obligations.</w:t>
      </w:r>
    </w:p>
    <w:p>
      <w:pPr>
        <w:pStyle w:val="Heading1"/>
        <w:spacing w:after="160" w:before="320"/>
      </w:pPr>
      <w:r>
        <w:rPr>
          <w:rFonts w:ascii="Calibri" w:cs="Calibri" w:eastAsia="Calibri" w:hAnsi="Calibri"/>
          <w:b/>
          <w:bCs/>
          <w:color w:val="1F3864"/>
          <w:sz w:val="26"/>
          <w:szCs w:val="26"/>
        </w:rPr>
        <w:t xml:space="preserve">5. Assistance with Data Subject Rights</w:t>
      </w:r>
    </w:p>
    <w:p>
      <w:pPr>
        <w:tabs>
          <w:tab w:val="left" w:pos="431"/>
        </w:tabs>
        <w:spacing w:after="140"/>
        <w:ind w:left="431" w:hanging="431"/>
      </w:pPr>
      <w:r>
        <w:rPr>
          <w:rFonts w:ascii="Calibri" w:cs="Calibri" w:eastAsia="Calibri" w:hAnsi="Calibri"/>
          <w:b/>
          <w:bCs/>
        </w:rPr>
        <w:t xml:space="preserve">5.1	</w:t>
      </w:r>
      <w:r>
        <w:rPr>
          <w:rFonts w:ascii="Calibri" w:cs="Calibri" w:eastAsia="Calibri" w:hAnsi="Calibri"/>
        </w:rPr>
        <w:t xml:space="preserve">The Processor shall promptly notify the Controller if it receives a request from a Data Subject seeking to exercise their rights under Chapter III of the GDPR (access, rectification, erasure, restriction, portability, objection, or rights related to automated decision-making, including profiling) in relation to Personal Data processed under this Agreement.</w:t>
      </w:r>
    </w:p>
    <w:p>
      <w:pPr>
        <w:tabs>
          <w:tab w:val="left" w:pos="431"/>
        </w:tabs>
        <w:spacing w:after="140"/>
        <w:ind w:left="431" w:hanging="431"/>
      </w:pPr>
      <w:r>
        <w:rPr>
          <w:rFonts w:ascii="Calibri" w:cs="Calibri" w:eastAsia="Calibri" w:hAnsi="Calibri"/>
          <w:b/>
          <w:bCs/>
        </w:rPr>
        <w:t xml:space="preserve">5.2	</w:t>
      </w:r>
      <w:r>
        <w:rPr>
          <w:rFonts w:ascii="Calibri" w:cs="Calibri" w:eastAsia="Calibri" w:hAnsi="Calibri"/>
        </w:rPr>
        <w:t xml:space="preserve">The Processor shall not respond to such a request itself unless authorized to do so by the Controller, and shall provide reasonable assistance to the Controller to enable it to respond to the request within the timeframes required by the GDPR.</w:t>
      </w:r>
    </w:p>
    <w:p>
      <w:pPr>
        <w:pStyle w:val="Heading1"/>
        <w:spacing w:after="160" w:before="320"/>
      </w:pPr>
      <w:r>
        <w:rPr>
          <w:rFonts w:ascii="Calibri" w:cs="Calibri" w:eastAsia="Calibri" w:hAnsi="Calibri"/>
          <w:b/>
          <w:bCs/>
          <w:color w:val="1F3864"/>
          <w:sz w:val="26"/>
          <w:szCs w:val="26"/>
        </w:rPr>
        <w:t xml:space="preserve">6. Personal Data Breach Notification</w:t>
      </w:r>
    </w:p>
    <w:p>
      <w:pPr>
        <w:tabs>
          <w:tab w:val="left" w:pos="431"/>
        </w:tabs>
        <w:spacing w:after="140"/>
        <w:ind w:left="431" w:hanging="431"/>
      </w:pPr>
      <w:r>
        <w:rPr>
          <w:rFonts w:ascii="Calibri" w:cs="Calibri" w:eastAsia="Calibri" w:hAnsi="Calibri"/>
          <w:b/>
          <w:bCs/>
        </w:rPr>
        <w:t xml:space="preserve">6.1	</w:t>
      </w:r>
      <w:r>
        <w:rPr>
          <w:rFonts w:ascii="Calibri" w:cs="Calibri" w:eastAsia="Calibri" w:hAnsi="Calibri"/>
        </w:rPr>
        <w:t xml:space="preserve">The Processor shall notify the Controller without undue delay, and in any event within </w:t>
      </w:r>
      <w:r>
        <w:rPr>
          <w:rFonts w:ascii="Calibri" w:cs="Calibri" w:eastAsia="Calibri" w:hAnsi="Calibri"/>
          <w:i/>
          <w:iCs/>
          <w:color w:val="2E74B5"/>
        </w:rPr>
        <w:t xml:space="preserve">[48/72]</w:t>
      </w:r>
      <w:r>
        <w:rPr>
          <w:rFonts w:ascii="Calibri" w:cs="Calibri" w:eastAsia="Calibri" w:hAnsi="Calibri"/>
        </w:rPr>
        <w:t xml:space="preserve"> hours, after becoming aware of a Personal Data Breach affecting Personal Data processed under this Agreement.</w:t>
      </w:r>
    </w:p>
    <w:p>
      <w:pPr>
        <w:tabs>
          <w:tab w:val="left" w:pos="431"/>
        </w:tabs>
        <w:spacing w:after="140"/>
        <w:ind w:left="431" w:hanging="431"/>
      </w:pPr>
      <w:r>
        <w:rPr>
          <w:rFonts w:ascii="Calibri" w:cs="Calibri" w:eastAsia="Calibri" w:hAnsi="Calibri"/>
          <w:b/>
          <w:bCs/>
        </w:rPr>
        <w:t xml:space="preserve">6.2	</w:t>
      </w:r>
      <w:r>
        <w:rPr>
          <w:rFonts w:ascii="Calibri" w:cs="Calibri" w:eastAsia="Calibri" w:hAnsi="Calibri"/>
        </w:rPr>
        <w:t xml:space="preserve">The notification shall at minimum describe: (a) the nature of the breach, including where possible the categories and approximate number of Data Subjects and records concerned; (b) the likely consequences of the breach; and (c) the measures taken or proposed to address the breach, including measures to mitigate its possible adverse effects.</w:t>
      </w:r>
    </w:p>
    <w:p>
      <w:pPr>
        <w:tabs>
          <w:tab w:val="left" w:pos="431"/>
        </w:tabs>
        <w:spacing w:after="140"/>
        <w:ind w:left="431" w:hanging="431"/>
      </w:pPr>
      <w:r>
        <w:rPr>
          <w:rFonts w:ascii="Calibri" w:cs="Calibri" w:eastAsia="Calibri" w:hAnsi="Calibri"/>
          <w:b/>
          <w:bCs/>
        </w:rPr>
        <w:t xml:space="preserve">6.3	</w:t>
      </w:r>
      <w:r>
        <w:rPr>
          <w:rFonts w:ascii="Calibri" w:cs="Calibri" w:eastAsia="Calibri" w:hAnsi="Calibri"/>
        </w:rPr>
        <w:t xml:space="preserve">The Processor shall cooperate with the Controller and provide reasonable assistance to enable the Controller to comply with its own notification obligations under Articles 33 and 34 GDPR.</w:t>
      </w:r>
    </w:p>
    <w:p>
      <w:pPr>
        <w:pStyle w:val="Heading1"/>
        <w:spacing w:after="160" w:before="320"/>
      </w:pPr>
      <w:r>
        <w:rPr>
          <w:rFonts w:ascii="Calibri" w:cs="Calibri" w:eastAsia="Calibri" w:hAnsi="Calibri"/>
          <w:b/>
          <w:bCs/>
          <w:color w:val="1F3864"/>
          <w:sz w:val="26"/>
          <w:szCs w:val="26"/>
        </w:rPr>
        <w:t xml:space="preserve">7. International Data Transfers</w:t>
      </w:r>
    </w:p>
    <w:p>
      <w:pPr>
        <w:tabs>
          <w:tab w:val="left" w:pos="431"/>
        </w:tabs>
        <w:spacing w:after="140"/>
        <w:ind w:left="431" w:hanging="431"/>
      </w:pPr>
      <w:r>
        <w:rPr>
          <w:rFonts w:ascii="Calibri" w:cs="Calibri" w:eastAsia="Calibri" w:hAnsi="Calibri"/>
          <w:b/>
          <w:bCs/>
        </w:rPr>
        <w:t xml:space="preserve">7.1	</w:t>
      </w:r>
      <w:r>
        <w:rPr>
          <w:rFonts w:ascii="Calibri" w:cs="Calibri" w:eastAsia="Calibri" w:hAnsi="Calibri"/>
        </w:rPr>
        <w:t xml:space="preserve">The Processor shall not transfer Personal Data outside the European Economic Area (or, where the Controller is established in Spain, outside Spain or the EEA) unless it has implemented one of the following safeguards: (a) an adequacy decision of the European Commission; (b) the Standard Contractual Clauses; (c) binding corporate rules; or (d) another valid transfer mechanism recognized under Chapter V GDPR.</w:t>
      </w:r>
    </w:p>
    <w:p>
      <w:pPr>
        <w:tabs>
          <w:tab w:val="left" w:pos="431"/>
        </w:tabs>
        <w:spacing w:after="140"/>
        <w:ind w:left="431" w:hanging="431"/>
      </w:pPr>
      <w:r>
        <w:rPr>
          <w:rFonts w:ascii="Calibri" w:cs="Calibri" w:eastAsia="Calibri" w:hAnsi="Calibri"/>
          <w:b/>
          <w:bCs/>
        </w:rPr>
        <w:t xml:space="preserve">7.2	</w:t>
      </w:r>
      <w:r>
        <w:rPr>
          <w:rFonts w:ascii="Calibri" w:cs="Calibri" w:eastAsia="Calibri" w:hAnsi="Calibri"/>
        </w:rPr>
        <w:t xml:space="preserve">Where the Standard Contractual Clauses apply, they are incorporated into this Agreement by reference and shall take precedence over any conflicting provision of this Agreement in the event of a conflict.</w:t>
      </w:r>
    </w:p>
    <w:p>
      <w:pPr>
        <w:tabs>
          <w:tab w:val="left" w:pos="431"/>
        </w:tabs>
        <w:spacing w:after="140"/>
        <w:ind w:left="431" w:hanging="431"/>
      </w:pPr>
      <w:r>
        <w:rPr>
          <w:rFonts w:ascii="Calibri" w:cs="Calibri" w:eastAsia="Calibri" w:hAnsi="Calibri"/>
          <w:b/>
          <w:bCs/>
        </w:rPr>
        <w:t xml:space="preserve">7.3	</w:t>
      </w:r>
      <w:r>
        <w:rPr>
          <w:rFonts w:ascii="Calibri" w:cs="Calibri" w:eastAsia="Calibri" w:hAnsi="Calibri"/>
        </w:rPr>
        <w:t xml:space="preserve">The transfer mechanism(s) relied upon, and the location(s) of Processing and Sub-processing, are set out in </w:t>
      </w:r>
      <w:r>
        <w:rPr>
          <w:rFonts w:ascii="Calibri" w:cs="Calibri" w:eastAsia="Calibri" w:hAnsi="Calibri"/>
          <w:b/>
          <w:bCs/>
        </w:rPr>
        <w:t xml:space="preserve">Annex B</w:t>
      </w:r>
      <w:r>
        <w:rPr>
          <w:rFonts w:ascii="Calibri" w:cs="Calibri" w:eastAsia="Calibri" w:hAnsi="Calibri"/>
        </w:rPr>
        <w:t xml:space="preserve">.</w:t>
      </w:r>
    </w:p>
    <w:p>
      <w:pPr>
        <w:pStyle w:val="Heading1"/>
        <w:spacing w:after="160" w:before="320"/>
      </w:pPr>
      <w:r>
        <w:rPr>
          <w:rFonts w:ascii="Calibri" w:cs="Calibri" w:eastAsia="Calibri" w:hAnsi="Calibri"/>
          <w:b/>
          <w:bCs/>
          <w:color w:val="1F3864"/>
          <w:sz w:val="26"/>
          <w:szCs w:val="26"/>
        </w:rPr>
        <w:t xml:space="preserve">8. Audit and Inspection Rights</w:t>
      </w:r>
    </w:p>
    <w:p>
      <w:pPr>
        <w:tabs>
          <w:tab w:val="left" w:pos="431"/>
        </w:tabs>
        <w:spacing w:after="140"/>
        <w:ind w:left="431" w:hanging="431"/>
      </w:pPr>
      <w:r>
        <w:rPr>
          <w:rFonts w:ascii="Calibri" w:cs="Calibri" w:eastAsia="Calibri" w:hAnsi="Calibri"/>
          <w:b/>
          <w:bCs/>
        </w:rPr>
        <w:t xml:space="preserve">8.1	</w:t>
      </w:r>
      <w:r>
        <w:rPr>
          <w:rFonts w:ascii="Calibri" w:cs="Calibri" w:eastAsia="Calibri" w:hAnsi="Calibri"/>
        </w:rPr>
        <w:t xml:space="preserve">The Processor shall make available to the Controller all information reasonably necessary to demonstrate compliance with this Agreement, and shall allow for and contribute to audits, including inspections, conducted by the Controller or an independent auditor mandated by the Controller, no more than once per </w:t>
      </w:r>
      <w:r>
        <w:rPr>
          <w:rFonts w:ascii="Calibri" w:cs="Calibri" w:eastAsia="Calibri" w:hAnsi="Calibri"/>
          <w:i/>
          <w:iCs/>
          <w:color w:val="2E74B5"/>
        </w:rPr>
        <w:t xml:space="preserve">[12]</w:t>
      </w:r>
      <w:r>
        <w:rPr>
          <w:rFonts w:ascii="Calibri" w:cs="Calibri" w:eastAsia="Calibri" w:hAnsi="Calibri"/>
        </w:rPr>
        <w:t xml:space="preserve"> months, or at any time following a Personal Data Breach, upon reasonable prior written notice.</w:t>
      </w:r>
    </w:p>
    <w:p>
      <w:pPr>
        <w:tabs>
          <w:tab w:val="left" w:pos="431"/>
        </w:tabs>
        <w:spacing w:after="140"/>
        <w:ind w:left="431" w:hanging="431"/>
      </w:pPr>
      <w:r>
        <w:rPr>
          <w:rFonts w:ascii="Calibri" w:cs="Calibri" w:eastAsia="Calibri" w:hAnsi="Calibri"/>
          <w:b/>
          <w:bCs/>
        </w:rPr>
        <w:t xml:space="preserve">8.2	</w:t>
      </w:r>
      <w:r>
        <w:rPr>
          <w:rFonts w:ascii="Calibri" w:cs="Calibri" w:eastAsia="Calibri" w:hAnsi="Calibri"/>
        </w:rPr>
        <w:t xml:space="preserve">Where the Processor maintains a current independent third-party certification or audit report relevant to the Processing (such as a SOC 2 report, ISO/IEC 27001 certification, or ISO/IEC 42001 certification where an AI System is involved), the Processor may satisfy a request under this Section by providing that report in lieu of an on-site audit, where reasonably sufficient to address the Controller’s request.</w:t>
      </w:r>
    </w:p>
    <w:p>
      <w:pPr>
        <w:pStyle w:val="Heading1"/>
        <w:spacing w:after="160" w:before="320"/>
      </w:pPr>
      <w:r>
        <w:rPr>
          <w:rFonts w:ascii="Calibri" w:cs="Calibri" w:eastAsia="Calibri" w:hAnsi="Calibri"/>
          <w:b/>
          <w:bCs/>
          <w:color w:val="1F3864"/>
          <w:sz w:val="26"/>
          <w:szCs w:val="26"/>
        </w:rPr>
        <w:t xml:space="preserve">9. Return or Deletion of Data</w:t>
      </w:r>
    </w:p>
    <w:p>
      <w:pPr>
        <w:tabs>
          <w:tab w:val="left" w:pos="431"/>
        </w:tabs>
        <w:spacing w:after="140"/>
        <w:ind w:left="431" w:hanging="431"/>
      </w:pPr>
      <w:r>
        <w:rPr>
          <w:rFonts w:ascii="Calibri" w:cs="Calibri" w:eastAsia="Calibri" w:hAnsi="Calibri"/>
          <w:b/>
          <w:bCs/>
        </w:rPr>
        <w:t xml:space="preserve">9.1	</w:t>
      </w:r>
      <w:r>
        <w:rPr>
          <w:rFonts w:ascii="Calibri" w:cs="Calibri" w:eastAsia="Calibri" w:hAnsi="Calibri"/>
        </w:rPr>
        <w:t xml:space="preserve">Upon termination or expiry of the Principal Agreement, the Processor shall, at the Controller’s written election, delete or return all Personal Data to the Controller, and delete existing copies, within </w:t>
      </w:r>
      <w:r>
        <w:rPr>
          <w:rFonts w:ascii="Calibri" w:cs="Calibri" w:eastAsia="Calibri" w:hAnsi="Calibri"/>
          <w:i/>
          <w:iCs/>
          <w:color w:val="2E74B5"/>
        </w:rPr>
        <w:t xml:space="preserve">[30]</w:t>
      </w:r>
      <w:r>
        <w:rPr>
          <w:rFonts w:ascii="Calibri" w:cs="Calibri" w:eastAsia="Calibri" w:hAnsi="Calibri"/>
        </w:rPr>
        <w:t xml:space="preserve"> days, unless applicable law requires the Processor to retain some or all of the Personal Data, in which case the Processor shall continue to protect that data in accordance with this Agreement for as long as it retains it.</w:t>
      </w:r>
    </w:p>
    <w:p>
      <w:pPr>
        <w:pStyle w:val="Heading1"/>
        <w:spacing w:after="160" w:before="320"/>
      </w:pPr>
      <w:r>
        <w:rPr>
          <w:rFonts w:ascii="Calibri" w:cs="Calibri" w:eastAsia="Calibri" w:hAnsi="Calibri"/>
          <w:b/>
          <w:bCs/>
          <w:color w:val="1F3864"/>
          <w:sz w:val="26"/>
          <w:szCs w:val="26"/>
        </w:rPr>
        <w:t xml:space="preserve">10. Liability and Indemnification</w:t>
      </w:r>
    </w:p>
    <w:p>
      <w:pPr>
        <w:tabs>
          <w:tab w:val="left" w:pos="431"/>
        </w:tabs>
        <w:spacing w:after="140"/>
        <w:ind w:left="431" w:hanging="431"/>
      </w:pPr>
      <w:r>
        <w:rPr>
          <w:rFonts w:ascii="Calibri" w:cs="Calibri" w:eastAsia="Calibri" w:hAnsi="Calibri"/>
          <w:b/>
          <w:bCs/>
        </w:rPr>
        <w:t xml:space="preserve">10.1	</w:t>
      </w:r>
      <w:r>
        <w:rPr>
          <w:rFonts w:ascii="Calibri" w:cs="Calibri" w:eastAsia="Calibri" w:hAnsi="Calibri"/>
        </w:rPr>
        <w:t xml:space="preserve">Each Party’s liability arising out of or related to this Agreement shall be subject to the limitations and exclusions of liability set out in the Principal Agreement, except to the extent such limitations are not permitted under applicable data protection law.</w:t>
      </w:r>
    </w:p>
    <w:p>
      <w:pPr>
        <w:tabs>
          <w:tab w:val="left" w:pos="431"/>
        </w:tabs>
        <w:spacing w:after="140"/>
        <w:ind w:left="431" w:hanging="431"/>
      </w:pPr>
      <w:r>
        <w:rPr>
          <w:rFonts w:ascii="Calibri" w:cs="Calibri" w:eastAsia="Calibri" w:hAnsi="Calibri"/>
          <w:b/>
          <w:bCs/>
        </w:rPr>
        <w:t xml:space="preserve">10.2	</w:t>
      </w:r>
      <w:r>
        <w:rPr>
          <w:rFonts w:ascii="Calibri" w:cs="Calibri" w:eastAsia="Calibri" w:hAnsi="Calibri"/>
        </w:rPr>
        <w:t xml:space="preserve">Each Party shall indemnify the other against any fines, penalties, or third-party claims arising from that Party’s breach of its obligations under this Agreement or applicable data protection law, to the extent permitted by applicable law.</w:t>
      </w:r>
    </w:p>
    <w:p>
      <w:pPr>
        <w:pStyle w:val="Heading1"/>
        <w:spacing w:after="160" w:before="320"/>
      </w:pPr>
      <w:r>
        <w:rPr>
          <w:rFonts w:ascii="Calibri" w:cs="Calibri" w:eastAsia="Calibri" w:hAnsi="Calibri"/>
          <w:b/>
          <w:bCs/>
          <w:color w:val="1F3864"/>
          <w:sz w:val="26"/>
          <w:szCs w:val="26"/>
        </w:rPr>
        <w:t xml:space="preserve">11. Term and Termination</w:t>
      </w:r>
    </w:p>
    <w:p>
      <w:pPr>
        <w:tabs>
          <w:tab w:val="left" w:pos="431"/>
        </w:tabs>
        <w:spacing w:after="140"/>
        <w:ind w:left="431" w:hanging="431"/>
      </w:pPr>
      <w:r>
        <w:rPr>
          <w:rFonts w:ascii="Calibri" w:cs="Calibri" w:eastAsia="Calibri" w:hAnsi="Calibri"/>
          <w:b/>
          <w:bCs/>
        </w:rPr>
        <w:t xml:space="preserve">11.1	</w:t>
      </w:r>
      <w:r>
        <w:rPr>
          <w:rFonts w:ascii="Calibri" w:cs="Calibri" w:eastAsia="Calibri" w:hAnsi="Calibri"/>
        </w:rPr>
        <w:t xml:space="preserve">This Agreement commences on the Effective Date and remains in effect for as long as the Processor processes Personal Data on behalf of the Controller under the Principal Agreement.</w:t>
      </w:r>
    </w:p>
    <w:p>
      <w:pPr>
        <w:tabs>
          <w:tab w:val="left" w:pos="431"/>
        </w:tabs>
        <w:spacing w:after="140"/>
        <w:ind w:left="431" w:hanging="431"/>
      </w:pPr>
      <w:r>
        <w:rPr>
          <w:rFonts w:ascii="Calibri" w:cs="Calibri" w:eastAsia="Calibri" w:hAnsi="Calibri"/>
          <w:b/>
          <w:bCs/>
        </w:rPr>
        <w:t xml:space="preserve">11.2	</w:t>
      </w:r>
      <w:r>
        <w:rPr>
          <w:rFonts w:ascii="Calibri" w:cs="Calibri" w:eastAsia="Calibri" w:hAnsi="Calibri"/>
        </w:rPr>
        <w:t xml:space="preserve">Termination of the Principal Agreement shall automatically terminate this Agreement, without prejudice to any surviving obligations relating to the return or deletion of Personal Data under Section 9.</w:t>
      </w:r>
    </w:p>
    <w:p>
      <w:pPr>
        <w:pStyle w:val="Heading1"/>
        <w:spacing w:after="160" w:before="320"/>
      </w:pPr>
      <w:r>
        <w:rPr>
          <w:rFonts w:ascii="Calibri" w:cs="Calibri" w:eastAsia="Calibri" w:hAnsi="Calibri"/>
          <w:b/>
          <w:bCs/>
          <w:color w:val="1F3864"/>
          <w:sz w:val="26"/>
          <w:szCs w:val="26"/>
        </w:rPr>
        <w:t xml:space="preserve">12. General Provisions</w:t>
      </w:r>
    </w:p>
    <w:p>
      <w:pPr>
        <w:tabs>
          <w:tab w:val="left" w:pos="431"/>
        </w:tabs>
        <w:spacing w:after="140"/>
        <w:ind w:left="431" w:hanging="431"/>
      </w:pPr>
      <w:r>
        <w:rPr>
          <w:rFonts w:ascii="Calibri" w:cs="Calibri" w:eastAsia="Calibri" w:hAnsi="Calibri"/>
          <w:b/>
          <w:bCs/>
        </w:rPr>
        <w:t xml:space="preserve">12.1	</w:t>
      </w:r>
      <w:r>
        <w:rPr>
          <w:rFonts w:ascii="Calibri" w:cs="Calibri" w:eastAsia="Calibri" w:hAnsi="Calibri"/>
          <w:b/>
          <w:bCs/>
        </w:rPr>
        <w:t xml:space="preserve">Governing Law. </w:t>
      </w:r>
      <w:r>
        <w:rPr>
          <w:rFonts w:ascii="Calibri" w:cs="Calibri" w:eastAsia="Calibri" w:hAnsi="Calibri"/>
        </w:rPr>
        <w:t xml:space="preserve">This Agreement shall be governed by the laws of </w:t>
      </w:r>
      <w:r>
        <w:rPr>
          <w:rFonts w:ascii="Calibri" w:cs="Calibri" w:eastAsia="Calibri" w:hAnsi="Calibri"/>
          <w:i/>
          <w:iCs/>
          <w:color w:val="2E74B5"/>
        </w:rPr>
        <w:t xml:space="preserve">[Jurisdiction]</w:t>
      </w:r>
      <w:r>
        <w:rPr>
          <w:rFonts w:ascii="Calibri" w:cs="Calibri" w:eastAsia="Calibri" w:hAnsi="Calibri"/>
        </w:rPr>
        <w:t xml:space="preserve">, without regard to its conflict of laws principles, except where applicable data protection law requires otherwise.</w:t>
      </w:r>
    </w:p>
    <w:p>
      <w:pPr>
        <w:tabs>
          <w:tab w:val="left" w:pos="431"/>
        </w:tabs>
        <w:spacing w:after="140"/>
        <w:ind w:left="431" w:hanging="431"/>
      </w:pPr>
      <w:r>
        <w:rPr>
          <w:rFonts w:ascii="Calibri" w:cs="Calibri" w:eastAsia="Calibri" w:hAnsi="Calibri"/>
          <w:b/>
          <w:bCs/>
        </w:rPr>
        <w:t xml:space="preserve">12.2	</w:t>
      </w:r>
      <w:r>
        <w:rPr>
          <w:rFonts w:ascii="Calibri" w:cs="Calibri" w:eastAsia="Calibri" w:hAnsi="Calibri"/>
          <w:b/>
          <w:bCs/>
        </w:rPr>
        <w:t xml:space="preserve">Precedence. </w:t>
      </w:r>
      <w:r>
        <w:rPr>
          <w:rFonts w:ascii="Calibri" w:cs="Calibri" w:eastAsia="Calibri" w:hAnsi="Calibri"/>
        </w:rPr>
        <w:t xml:space="preserve">In the event of a conflict between this Agreement and the Principal Agreement regarding the Processing of Personal Data, this Agreement shall prevail.</w:t>
      </w:r>
    </w:p>
    <w:p>
      <w:pPr>
        <w:tabs>
          <w:tab w:val="left" w:pos="431"/>
        </w:tabs>
        <w:spacing w:after="140"/>
        <w:ind w:left="431" w:hanging="431"/>
      </w:pPr>
      <w:r>
        <w:rPr>
          <w:rFonts w:ascii="Calibri" w:cs="Calibri" w:eastAsia="Calibri" w:hAnsi="Calibri"/>
          <w:b/>
          <w:bCs/>
        </w:rPr>
        <w:t xml:space="preserve">12.3	</w:t>
      </w:r>
      <w:r>
        <w:rPr>
          <w:rFonts w:ascii="Calibri" w:cs="Calibri" w:eastAsia="Calibri" w:hAnsi="Calibri"/>
          <w:b/>
          <w:bCs/>
        </w:rPr>
        <w:t xml:space="preserve">Amendments. </w:t>
      </w:r>
      <w:r>
        <w:rPr>
          <w:rFonts w:ascii="Calibri" w:cs="Calibri" w:eastAsia="Calibri" w:hAnsi="Calibri"/>
        </w:rPr>
        <w:t xml:space="preserve">This Agreement may only be amended by a written instrument signed by both Parties, except that the Processor may update Annex B to reflect Sub-processor changes in accordance with Section 4.</w:t>
      </w:r>
    </w:p>
    <w:p>
      <w:pPr>
        <w:tabs>
          <w:tab w:val="left" w:pos="431"/>
        </w:tabs>
        <w:spacing w:after="140"/>
        <w:ind w:left="431" w:hanging="431"/>
      </w:pPr>
      <w:r>
        <w:rPr>
          <w:rFonts w:ascii="Calibri" w:cs="Calibri" w:eastAsia="Calibri" w:hAnsi="Calibri"/>
          <w:b/>
          <w:bCs/>
        </w:rPr>
        <w:t xml:space="preserve">12.4	</w:t>
      </w:r>
      <w:r>
        <w:rPr>
          <w:rFonts w:ascii="Calibri" w:cs="Calibri" w:eastAsia="Calibri" w:hAnsi="Calibri"/>
          <w:b/>
          <w:bCs/>
        </w:rPr>
        <w:t xml:space="preserve">Severability. </w:t>
      </w:r>
      <w:r>
        <w:rPr>
          <w:rFonts w:ascii="Calibri" w:cs="Calibri" w:eastAsia="Calibri" w:hAnsi="Calibri"/>
        </w:rPr>
        <w:t xml:space="preserve">If any provision of this Agreement is held invalid or unenforceable, the remaining provisions shall remain in full force and effect.</w:t>
      </w:r>
    </w:p>
    <w:p>
      <w:pPr>
        <w:tabs>
          <w:tab w:val="left" w:pos="431"/>
        </w:tabs>
        <w:spacing w:after="140"/>
        <w:ind w:left="431" w:hanging="431"/>
      </w:pPr>
      <w:r>
        <w:rPr>
          <w:rFonts w:ascii="Calibri" w:cs="Calibri" w:eastAsia="Calibri" w:hAnsi="Calibri"/>
          <w:b/>
          <w:bCs/>
        </w:rPr>
        <w:t xml:space="preserve">12.5	</w:t>
      </w:r>
      <w:r>
        <w:rPr>
          <w:rFonts w:ascii="Calibri" w:cs="Calibri" w:eastAsia="Calibri" w:hAnsi="Calibri"/>
          <w:b/>
          <w:bCs/>
        </w:rPr>
        <w:t xml:space="preserve">Entire Agreement. </w:t>
      </w:r>
      <w:r>
        <w:rPr>
          <w:rFonts w:ascii="Calibri" w:cs="Calibri" w:eastAsia="Calibri" w:hAnsi="Calibri"/>
        </w:rPr>
        <w:t xml:space="preserve">This Agreement, including its Annexes, constitutes the entire agreement between the Parties regarding the Processing of Personal Data and supersedes any prior agreements on that subject.</w:t>
      </w:r>
    </w:p>
    <w:p>
      <w:r>
        <w:br w:type="page"/>
      </w:r>
    </w:p>
    <w:p>
      <w:pPr>
        <w:pStyle w:val="Heading1"/>
        <w:spacing w:after="240" w:before="200"/>
      </w:pPr>
      <w:r>
        <w:rPr>
          <w:rFonts w:ascii="Calibri" w:cs="Calibri" w:eastAsia="Calibri" w:hAnsi="Calibri"/>
          <w:b/>
          <w:bCs/>
          <w:color w:val="1F3864"/>
          <w:sz w:val="26"/>
          <w:szCs w:val="26"/>
        </w:rPr>
        <w:t xml:space="preserve">Signatures</w:t>
      </w:r>
    </w:p>
    <w:p>
      <w:pPr>
        <w:spacing w:after="160"/>
      </w:pPr>
      <w:r>
        <w:rPr>
          <w:rFonts w:ascii="Calibri" w:cs="Calibri" w:eastAsia="Calibri" w:hAnsi="Calibri"/>
        </w:rPr>
        <w:t xml:space="preserve">The Parties have caused this Agreement to be executed by their duly authorized representatives as of the Effective Date.</w:t>
      </w:r>
    </w:p>
    <w:tbl>
      <w:tblPr>
        <w:tblW w:type="dxa" w:w="9360"/>
        <w:tblBorders>
          <w:top w:val="none"/>
          <w:left w:val="none"/>
          <w:bottom w:val="none"/>
          <w:right w:val="none"/>
          <w:insideH w:val="none"/>
          <w:insideV w:val="none"/>
        </w:tblBorders>
      </w:tblPr>
      <w:tblGrid>
        <w:gridCol w:w="4680"/>
        <w:gridCol w:w="4680"/>
      </w:tblGrid>
      <w:tr>
        <w:tc>
          <w:tcPr>
            <w:tcW w:type="dxa" w:w="4680"/>
          </w:tcPr>
          <w:p>
            <w:pPr>
              <w:spacing w:after="160"/>
            </w:pPr>
            <w:r>
              <w:rPr>
                <w:rFonts w:ascii="Calibri" w:cs="Calibri" w:eastAsia="Calibri" w:hAnsi="Calibri"/>
                <w:b/>
                <w:bCs/>
              </w:rPr>
              <w:t xml:space="preserve">CONTROLLER: [Company Name]</w:t>
            </w:r>
          </w:p>
        </w:tc>
        <w:tc>
          <w:tcPr>
            <w:tcW w:type="dxa" w:w="4680"/>
          </w:tcPr>
          <w:p>
            <w:pPr>
              <w:spacing w:after="160"/>
            </w:pPr>
            <w:r>
              <w:rPr>
                <w:rFonts w:ascii="Calibri" w:cs="Calibri" w:eastAsia="Calibri" w:hAnsi="Calibri"/>
                <w:b/>
                <w:bCs/>
              </w:rPr>
              <w:t xml:space="preserve">PROCESSOR: [Vendor/Customer Name]</w:t>
            </w:r>
          </w:p>
        </w:tc>
      </w:tr>
      <w:tr>
        <w:tc>
          <w:tcPr>
            <w:tcW w:type="dxa" w:w="4680"/>
          </w:tcPr>
          <w:p>
            <w:pPr>
              <w:spacing w:after="160"/>
            </w:pPr>
            <w:r>
              <w:rPr>
                <w:rFonts w:ascii="Calibri" w:cs="Calibri" w:eastAsia="Calibri" w:hAnsi="Calibri"/>
              </w:rPr>
              <w:t xml:space="preserve">Signature: ______________________</w:t>
            </w:r>
          </w:p>
          <w:p>
            <w:pPr>
              <w:spacing w:after="160"/>
            </w:pPr>
            <w:r>
              <w:rPr>
                <w:rFonts w:ascii="Calibri" w:cs="Calibri" w:eastAsia="Calibri" w:hAnsi="Calibri"/>
              </w:rPr>
              <w:t xml:space="preserve">Name: ______________________</w:t>
            </w:r>
          </w:p>
          <w:p>
            <w:pPr>
              <w:spacing w:after="160"/>
            </w:pPr>
            <w:r>
              <w:rPr>
                <w:rFonts w:ascii="Calibri" w:cs="Calibri" w:eastAsia="Calibri" w:hAnsi="Calibri"/>
              </w:rPr>
              <w:t xml:space="preserve">Title: ______________________</w:t>
            </w:r>
          </w:p>
          <w:p>
            <w:pPr>
              <w:spacing w:after="160"/>
            </w:pPr>
            <w:r>
              <w:rPr>
                <w:rFonts w:ascii="Calibri" w:cs="Calibri" w:eastAsia="Calibri" w:hAnsi="Calibri"/>
              </w:rPr>
              <w:t xml:space="preserve">Date: ______________________</w:t>
            </w:r>
          </w:p>
        </w:tc>
        <w:tc>
          <w:tcPr>
            <w:tcW w:type="dxa" w:w="4680"/>
          </w:tcPr>
          <w:p>
            <w:pPr>
              <w:spacing w:after="160"/>
            </w:pPr>
            <w:r>
              <w:rPr>
                <w:rFonts w:ascii="Calibri" w:cs="Calibri" w:eastAsia="Calibri" w:hAnsi="Calibri"/>
              </w:rPr>
              <w:t xml:space="preserve">Signature: ______________________</w:t>
            </w:r>
          </w:p>
          <w:p>
            <w:pPr>
              <w:spacing w:after="160"/>
            </w:pPr>
            <w:r>
              <w:rPr>
                <w:rFonts w:ascii="Calibri" w:cs="Calibri" w:eastAsia="Calibri" w:hAnsi="Calibri"/>
              </w:rPr>
              <w:t xml:space="preserve">Name: ______________________</w:t>
            </w:r>
          </w:p>
          <w:p>
            <w:pPr>
              <w:spacing w:after="160"/>
            </w:pPr>
            <w:r>
              <w:rPr>
                <w:rFonts w:ascii="Calibri" w:cs="Calibri" w:eastAsia="Calibri" w:hAnsi="Calibri"/>
              </w:rPr>
              <w:t xml:space="preserve">Title: ______________________</w:t>
            </w:r>
          </w:p>
          <w:p>
            <w:pPr>
              <w:spacing w:after="160"/>
            </w:pPr>
            <w:r>
              <w:rPr>
                <w:rFonts w:ascii="Calibri" w:cs="Calibri" w:eastAsia="Calibri" w:hAnsi="Calibri"/>
              </w:rPr>
              <w:t xml:space="preserve">Date: ______________________</w:t>
            </w:r>
          </w:p>
        </w:tc>
      </w:tr>
    </w:tbl>
    <w:p>
      <w:r>
        <w:br w:type="page"/>
      </w:r>
    </w:p>
    <w:p>
      <w:pPr>
        <w:pStyle w:val="Heading1"/>
        <w:spacing w:after="200" w:before="0"/>
      </w:pPr>
      <w:r>
        <w:rPr>
          <w:rFonts w:ascii="Calibri" w:cs="Calibri" w:eastAsia="Calibri" w:hAnsi="Calibri"/>
          <w:b/>
          <w:bCs/>
          <w:color w:val="1F3864"/>
          <w:sz w:val="26"/>
          <w:szCs w:val="26"/>
        </w:rPr>
        <w:t xml:space="preserve">Annex A — Details of Processing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rPr>
          <w:tblHeader/>
        </w:trPr>
        <w:tc>
          <w:tcPr>
            <w:tcW w:type="dxa" w:w="3200"/>
            <w:shd w:fill="1F3864" w:val="clear"/>
            <w:tcMar>
              <w:top w:type="dxa" w:w="80"/>
              <w:left w:type="dxa" w:w="100"/>
              <w:bottom w:type="dxa" w:w="80"/>
              <w:right w:type="dxa" w:w="100"/>
            </w:tcMar>
            <w:vAlign w:val="center"/>
          </w:tcPr>
          <w:p>
            <w:r>
              <w:rPr>
                <w:rFonts w:ascii="Calibri" w:cs="Calibri" w:eastAsia="Calibri" w:hAnsi="Calibri"/>
                <w:b/>
                <w:bCs/>
                <w:i w:val="false"/>
                <w:iCs w:val="false"/>
                <w:color w:val="FFFFFF"/>
                <w:sz w:val="20"/>
                <w:szCs w:val="20"/>
              </w:rPr>
              <w:t xml:space="preserve">Item</w:t>
            </w:r>
          </w:p>
        </w:tc>
        <w:tc>
          <w:tcPr>
            <w:tcW w:type="dxa" w:w="6160"/>
            <w:shd w:fill="1F3864" w:val="clear"/>
            <w:tcMar>
              <w:top w:type="dxa" w:w="80"/>
              <w:left w:type="dxa" w:w="100"/>
              <w:bottom w:type="dxa" w:w="80"/>
              <w:right w:type="dxa" w:w="100"/>
            </w:tcMar>
            <w:vAlign w:val="center"/>
          </w:tcPr>
          <w:p>
            <w:r>
              <w:rPr>
                <w:rFonts w:ascii="Calibri" w:cs="Calibri" w:eastAsia="Calibri" w:hAnsi="Calibri"/>
                <w:b/>
                <w:bCs/>
                <w:i w:val="false"/>
                <w:iCs w:val="false"/>
                <w:color w:val="FFFFFF"/>
                <w:sz w:val="20"/>
                <w:szCs w:val="20"/>
              </w:rPr>
              <w:t xml:space="preserve">Description</w:t>
            </w:r>
          </w:p>
        </w:tc>
      </w:tr>
      <w:tr>
        <w:tc>
          <w:tcPr>
            <w:tcW w:type="dxa" w:w="320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Subject matter</w:t>
            </w:r>
          </w:p>
        </w:tc>
        <w:tc>
          <w:tcPr>
            <w:tcW w:type="dxa" w:w="616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[e.g., Provision of the Processor’s SaaS platform to the Controller]</w:t>
            </w:r>
          </w:p>
        </w:tc>
      </w:tr>
      <w:tr>
        <w:tc>
          <w:tcPr>
            <w:tcW w:type="dxa" w:w="320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Duration</w:t>
            </w:r>
          </w:p>
        </w:tc>
        <w:tc>
          <w:tcPr>
            <w:tcW w:type="dxa" w:w="616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[Duration of the Principal Agreement, plus any post-termination retention period]</w:t>
            </w:r>
          </w:p>
        </w:tc>
      </w:tr>
      <w:tr>
        <w:tc>
          <w:tcPr>
            <w:tcW w:type="dxa" w:w="320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Nature and purpose of processing</w:t>
            </w:r>
          </w:p>
        </w:tc>
        <w:tc>
          <w:tcPr>
            <w:tcW w:type="dxa" w:w="616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[e.g., Hosting, storage, customer support, AI-assisted analytics]</w:t>
            </w:r>
          </w:p>
        </w:tc>
      </w:tr>
      <w:tr>
        <w:tc>
          <w:tcPr>
            <w:tcW w:type="dxa" w:w="320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Categories of Data Subjects</w:t>
            </w:r>
          </w:p>
        </w:tc>
        <w:tc>
          <w:tcPr>
            <w:tcW w:type="dxa" w:w="616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[e.g., Controller’s customers, employees, website visitors]</w:t>
            </w:r>
          </w:p>
        </w:tc>
      </w:tr>
      <w:tr>
        <w:tc>
          <w:tcPr>
            <w:tcW w:type="dxa" w:w="320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Types of Personal Data</w:t>
            </w:r>
          </w:p>
        </w:tc>
        <w:tc>
          <w:tcPr>
            <w:tcW w:type="dxa" w:w="616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[e.g., Name, email address, IP address, usage data]</w:t>
            </w:r>
          </w:p>
        </w:tc>
      </w:tr>
      <w:tr>
        <w:tc>
          <w:tcPr>
            <w:tcW w:type="dxa" w:w="320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Special category data (if any)</w:t>
            </w:r>
          </w:p>
        </w:tc>
        <w:tc>
          <w:tcPr>
            <w:tcW w:type="dxa" w:w="616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[e.g., None / health data / specify]</w:t>
            </w:r>
          </w:p>
        </w:tc>
      </w:tr>
      <w:tr>
        <w:tc>
          <w:tcPr>
            <w:tcW w:type="dxa" w:w="320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Frequency of transfer</w:t>
            </w:r>
          </w:p>
        </w:tc>
        <w:tc>
          <w:tcPr>
            <w:tcW w:type="dxa" w:w="616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[e.g., Continuous]</w:t>
            </w:r>
          </w:p>
        </w:tc>
      </w:tr>
    </w:tbl>
    <w:p>
      <w:r>
        <w:br w:type="page"/>
      </w:r>
    </w:p>
    <w:p>
      <w:pPr>
        <w:pStyle w:val="Heading1"/>
        <w:spacing w:after="200" w:before="0"/>
      </w:pPr>
      <w:r>
        <w:rPr>
          <w:rFonts w:ascii="Calibri" w:cs="Calibri" w:eastAsia="Calibri" w:hAnsi="Calibri"/>
          <w:b/>
          <w:bCs/>
          <w:color w:val="1F3864"/>
          <w:sz w:val="26"/>
          <w:szCs w:val="26"/>
        </w:rPr>
        <w:t xml:space="preserve">Annex B — Authorized Sub-processors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2940"/>
        <w:gridCol w:w="1880"/>
        <w:gridCol w:w="2140"/>
      </w:tblGrid>
      <w:tr>
        <w:trPr>
          <w:tblHeader/>
        </w:trPr>
        <w:tc>
          <w:tcPr>
            <w:tcW w:type="dxa" w:w="2400"/>
            <w:shd w:fill="1F3864" w:val="clear"/>
            <w:tcMar>
              <w:top w:type="dxa" w:w="80"/>
              <w:left w:type="dxa" w:w="100"/>
              <w:bottom w:type="dxa" w:w="80"/>
              <w:right w:type="dxa" w:w="100"/>
            </w:tcMar>
            <w:vAlign w:val="center"/>
          </w:tcPr>
          <w:p>
            <w:r>
              <w:rPr>
                <w:rFonts w:ascii="Calibri" w:cs="Calibri" w:eastAsia="Calibri" w:hAnsi="Calibri"/>
                <w:b/>
                <w:bCs/>
                <w:i w:val="false"/>
                <w:iCs w:val="false"/>
                <w:color w:val="FFFFFF"/>
                <w:sz w:val="20"/>
                <w:szCs w:val="20"/>
              </w:rPr>
              <w:t xml:space="preserve">Sub-processor</w:t>
            </w:r>
          </w:p>
        </w:tc>
        <w:tc>
          <w:tcPr>
            <w:tcW w:type="dxa" w:w="2940"/>
            <w:shd w:fill="1F3864" w:val="clear"/>
            <w:tcMar>
              <w:top w:type="dxa" w:w="80"/>
              <w:left w:type="dxa" w:w="100"/>
              <w:bottom w:type="dxa" w:w="80"/>
              <w:right w:type="dxa" w:w="100"/>
            </w:tcMar>
            <w:vAlign w:val="center"/>
          </w:tcPr>
          <w:p>
            <w:r>
              <w:rPr>
                <w:rFonts w:ascii="Calibri" w:cs="Calibri" w:eastAsia="Calibri" w:hAnsi="Calibri"/>
                <w:b/>
                <w:bCs/>
                <w:i w:val="false"/>
                <w:iCs w:val="false"/>
                <w:color w:val="FFFFFF"/>
                <w:sz w:val="20"/>
                <w:szCs w:val="20"/>
              </w:rPr>
              <w:t xml:space="preserve">Processing Activity</w:t>
            </w:r>
          </w:p>
        </w:tc>
        <w:tc>
          <w:tcPr>
            <w:tcW w:type="dxa" w:w="1880"/>
            <w:shd w:fill="1F3864" w:val="clear"/>
            <w:tcMar>
              <w:top w:type="dxa" w:w="80"/>
              <w:left w:type="dxa" w:w="100"/>
              <w:bottom w:type="dxa" w:w="80"/>
              <w:right w:type="dxa" w:w="100"/>
            </w:tcMar>
            <w:vAlign w:val="center"/>
          </w:tcPr>
          <w:p>
            <w:r>
              <w:rPr>
                <w:rFonts w:ascii="Calibri" w:cs="Calibri" w:eastAsia="Calibri" w:hAnsi="Calibri"/>
                <w:b/>
                <w:bCs/>
                <w:i w:val="false"/>
                <w:iCs w:val="false"/>
                <w:color w:val="FFFFFF"/>
                <w:sz w:val="20"/>
                <w:szCs w:val="20"/>
              </w:rPr>
              <w:t xml:space="preserve">Location</w:t>
            </w:r>
          </w:p>
        </w:tc>
        <w:tc>
          <w:tcPr>
            <w:tcW w:type="dxa" w:w="2140"/>
            <w:shd w:fill="1F3864" w:val="clear"/>
            <w:tcMar>
              <w:top w:type="dxa" w:w="80"/>
              <w:left w:type="dxa" w:w="100"/>
              <w:bottom w:type="dxa" w:w="80"/>
              <w:right w:type="dxa" w:w="100"/>
            </w:tcMar>
            <w:vAlign w:val="center"/>
          </w:tcPr>
          <w:p>
            <w:r>
              <w:rPr>
                <w:rFonts w:ascii="Calibri" w:cs="Calibri" w:eastAsia="Calibri" w:hAnsi="Calibri"/>
                <w:b/>
                <w:bCs/>
                <w:i w:val="false"/>
                <w:iCs w:val="false"/>
                <w:color w:val="FFFFFF"/>
                <w:sz w:val="20"/>
                <w:szCs w:val="20"/>
              </w:rPr>
              <w:t xml:space="preserve">Transfer Mechanism</w:t>
            </w:r>
          </w:p>
        </w:tc>
      </w:tr>
      <w:tr>
        <w:tc>
          <w:tcPr>
            <w:tcW w:type="dxa" w:w="240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[e.g., Amazon Web Services]</w:t>
            </w:r>
          </w:p>
        </w:tc>
        <w:tc>
          <w:tcPr>
            <w:tcW w:type="dxa" w:w="294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[Cloud hosting]</w:t>
            </w:r>
          </w:p>
        </w:tc>
        <w:tc>
          <w:tcPr>
            <w:tcW w:type="dxa" w:w="188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[e.g., Ireland]</w:t>
            </w:r>
          </w:p>
        </w:tc>
        <w:tc>
          <w:tcPr>
            <w:tcW w:type="dxa" w:w="214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[e.g., Adequacy / SCCs]</w:t>
            </w:r>
          </w:p>
        </w:tc>
      </w:tr>
      <w:tr>
        <w:tc>
          <w:tcPr>
            <w:tcW w:type="dxa" w:w="240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[e.g., OpenAI, L.L.C.]</w:t>
            </w:r>
          </w:p>
        </w:tc>
        <w:tc>
          <w:tcPr>
            <w:tcW w:type="dxa" w:w="294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[AI-assisted feature processing — see Annex D]</w:t>
            </w:r>
          </w:p>
        </w:tc>
        <w:tc>
          <w:tcPr>
            <w:tcW w:type="dxa" w:w="188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[e.g., United States]</w:t>
            </w:r>
          </w:p>
        </w:tc>
        <w:tc>
          <w:tcPr>
            <w:tcW w:type="dxa" w:w="214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[e.g., SCCs]</w:t>
            </w:r>
          </w:p>
        </w:tc>
      </w:tr>
      <w:tr>
        <w:tc>
          <w:tcPr>
            <w:tcW w:type="dxa" w:w="240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[Add rows as needed]</w:t>
            </w:r>
          </w:p>
        </w:tc>
        <w:tc>
          <w:tcPr>
            <w:tcW w:type="dxa" w:w="294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
            </w:r>
          </w:p>
        </w:tc>
        <w:tc>
          <w:tcPr>
            <w:tcW w:type="dxa" w:w="188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
            </w:r>
          </w:p>
        </w:tc>
        <w:tc>
          <w:tcPr>
            <w:tcW w:type="dxa" w:w="214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
            </w:r>
          </w:p>
        </w:tc>
      </w:tr>
    </w:tbl>
    <w:p>
      <w:r>
        <w:br w:type="page"/>
      </w:r>
    </w:p>
    <w:p>
      <w:pPr>
        <w:pStyle w:val="Heading1"/>
        <w:spacing w:after="160" w:before="0"/>
      </w:pPr>
      <w:r>
        <w:rPr>
          <w:rFonts w:ascii="Calibri" w:cs="Calibri" w:eastAsia="Calibri" w:hAnsi="Calibri"/>
          <w:b/>
          <w:bCs/>
          <w:color w:val="1F3864"/>
          <w:sz w:val="26"/>
          <w:szCs w:val="26"/>
        </w:rPr>
        <w:t xml:space="preserve">Annex C — Technical and Organizational Security Measures</w:t>
      </w:r>
    </w:p>
    <w:p>
      <w:pPr>
        <w:spacing w:after="160"/>
      </w:pPr>
      <w:r>
        <w:rPr>
          <w:rFonts w:ascii="Calibri" w:cs="Calibri" w:eastAsia="Calibri" w:hAnsi="Calibri"/>
        </w:rPr>
        <w:t xml:space="preserve">Describe, or attach as a reference document, the measures implemented pursuant to Article 32 GDPR. At minimum, address each of the following:</w:t>
      </w:r>
    </w:p>
    <w:p>
      <w:pPr>
        <w:pStyle w:val="ListParagraph"/>
        <w:numPr>
          <w:ilvl w:val="0"/>
          <w:numId w:val="2"/>
        </w:numPr>
        <w:spacing w:after="80"/>
      </w:pPr>
      <w:r>
        <w:rPr>
          <w:rFonts w:ascii="Calibri" w:cs="Calibri" w:eastAsia="Calibri" w:hAnsi="Calibri"/>
        </w:rPr>
        <w:t xml:space="preserve">Encryption of Personal Data at rest and in transit</w:t>
      </w:r>
    </w:p>
    <w:p>
      <w:pPr>
        <w:pStyle w:val="ListParagraph"/>
        <w:numPr>
          <w:ilvl w:val="0"/>
          <w:numId w:val="2"/>
        </w:numPr>
        <w:spacing w:after="80"/>
      </w:pPr>
      <w:r>
        <w:rPr>
          <w:rFonts w:ascii="Calibri" w:cs="Calibri" w:eastAsia="Calibri" w:hAnsi="Calibri"/>
        </w:rPr>
        <w:t xml:space="preserve">Access controls and authentication (including multi-factor authentication for privileged access)</w:t>
      </w:r>
    </w:p>
    <w:p>
      <w:pPr>
        <w:pStyle w:val="ListParagraph"/>
        <w:numPr>
          <w:ilvl w:val="0"/>
          <w:numId w:val="2"/>
        </w:numPr>
        <w:spacing w:after="80"/>
      </w:pPr>
      <w:r>
        <w:rPr>
          <w:rFonts w:ascii="Calibri" w:cs="Calibri" w:eastAsia="Calibri" w:hAnsi="Calibri"/>
        </w:rPr>
        <w:t xml:space="preserve">Logging and monitoring of access to systems processing Personal Data</w:t>
      </w:r>
    </w:p>
    <w:p>
      <w:pPr>
        <w:pStyle w:val="ListParagraph"/>
        <w:numPr>
          <w:ilvl w:val="0"/>
          <w:numId w:val="2"/>
        </w:numPr>
        <w:spacing w:after="80"/>
      </w:pPr>
      <w:r>
        <w:rPr>
          <w:rFonts w:ascii="Calibri" w:cs="Calibri" w:eastAsia="Calibri" w:hAnsi="Calibri"/>
        </w:rPr>
        <w:t xml:space="preserve">Regular testing, assessment, and evaluation of the effectiveness of security measures (e.g., penetration testing)</w:t>
      </w:r>
    </w:p>
    <w:p>
      <w:pPr>
        <w:pStyle w:val="ListParagraph"/>
        <w:numPr>
          <w:ilvl w:val="0"/>
          <w:numId w:val="2"/>
        </w:numPr>
        <w:spacing w:after="80"/>
      </w:pPr>
      <w:r>
        <w:rPr>
          <w:rFonts w:ascii="Calibri" w:cs="Calibri" w:eastAsia="Calibri" w:hAnsi="Calibri"/>
        </w:rPr>
        <w:t xml:space="preserve">Business continuity and disaster recovery procedures</w:t>
      </w:r>
    </w:p>
    <w:p>
      <w:pPr>
        <w:pStyle w:val="ListParagraph"/>
        <w:numPr>
          <w:ilvl w:val="0"/>
          <w:numId w:val="2"/>
        </w:numPr>
        <w:spacing w:after="80"/>
      </w:pPr>
      <w:r>
        <w:rPr>
          <w:rFonts w:ascii="Calibri" w:cs="Calibri" w:eastAsia="Calibri" w:hAnsi="Calibri"/>
        </w:rPr>
        <w:t xml:space="preserve">Personnel confidentiality obligations and security awareness training</w:t>
      </w:r>
    </w:p>
    <w:p>
      <w:pPr>
        <w:pStyle w:val="ListParagraph"/>
        <w:numPr>
          <w:ilvl w:val="0"/>
          <w:numId w:val="2"/>
        </w:numPr>
        <w:spacing w:after="80"/>
      </w:pPr>
      <w:r>
        <w:rPr>
          <w:rFonts w:ascii="Calibri" w:cs="Calibri" w:eastAsia="Calibri" w:hAnsi="Calibri"/>
        </w:rPr>
        <w:t xml:space="preserve">Physical security measures for any facilities where Personal Data is processed or stored</w:t>
      </w:r>
    </w:p>
    <w:p>
      <w:pPr>
        <w:pStyle w:val="ListParagraph"/>
        <w:numPr>
          <w:ilvl w:val="0"/>
          <w:numId w:val="2"/>
        </w:numPr>
        <w:spacing w:after="80"/>
      </w:pPr>
      <w:r>
        <w:rPr>
          <w:rFonts w:ascii="Calibri" w:cs="Calibri" w:eastAsia="Calibri" w:hAnsi="Calibri"/>
        </w:rPr>
        <w:t xml:space="preserve">Vendor and Sub-processor security due diligence process</w:t>
      </w:r>
    </w:p>
    <w:p>
      <w:r>
        <w:br w:type="page"/>
      </w:r>
    </w:p>
    <w:p>
      <w:pPr>
        <w:pStyle w:val="Heading1"/>
        <w:spacing w:after="60" w:before="0"/>
      </w:pPr>
      <w:r>
        <w:rPr>
          <w:rFonts w:ascii="Calibri" w:cs="Calibri" w:eastAsia="Calibri" w:hAnsi="Calibri"/>
          <w:b/>
          <w:bCs/>
          <w:color w:val="1F3864"/>
          <w:sz w:val="26"/>
          <w:szCs w:val="26"/>
        </w:rPr>
        <w:t xml:space="preserve">Annex D — AI Processing Addendum</w:t>
      </w:r>
    </w:p>
    <w:p>
      <w:pPr>
        <w:spacing w:after="160"/>
      </w:pPr>
      <w:r>
        <w:rPr>
          <w:rFonts w:ascii="Calibri" w:cs="Calibri" w:eastAsia="Calibri" w:hAnsi="Calibri"/>
          <w:i/>
          <w:iCs/>
          <w:color w:val="595959"/>
        </w:rPr>
        <w:t xml:space="preserve">Complete this Annex only if the Processor uses an AI System — whether developed in-house or licensed from an AI System Provider — to Process Personal Data under this Agreement. If no AI System is used, state “Not Applicable” below and delete the remaining clauses.</w:t>
      </w:r>
    </w:p>
    <w:p>
      <w:pPr>
        <w:pBdr>
          <w:bottom w:val="single" w:color="BFBFBF" w:sz="6"/>
        </w:pBdr>
        <w:spacing w:after="120" w:before="120"/>
      </w:pPr>
    </w:p>
    <w:p>
      <w:pPr>
        <w:pStyle w:val="Heading2"/>
        <w:spacing w:after="120" w:before="200"/>
      </w:pPr>
      <w:r>
        <w:rPr>
          <w:rFonts w:ascii="Calibri" w:cs="Calibri" w:eastAsia="Calibri" w:hAnsi="Calibri"/>
          <w:b/>
          <w:bCs/>
          <w:color w:val="1F3864"/>
          <w:sz w:val="23"/>
          <w:szCs w:val="23"/>
        </w:rPr>
        <w:t xml:space="preserve">D.1 AI Systems in Use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2200"/>
        <w:gridCol w:w="2360"/>
        <w:gridCol w:w="2000"/>
      </w:tblGrid>
      <w:tr>
        <w:trPr>
          <w:tblHeader/>
        </w:trPr>
        <w:tc>
          <w:tcPr>
            <w:tcW w:type="dxa" w:w="2800"/>
            <w:shd w:fill="1F3864" w:val="clear"/>
            <w:tcMar>
              <w:top w:type="dxa" w:w="80"/>
              <w:left w:type="dxa" w:w="100"/>
              <w:bottom w:type="dxa" w:w="80"/>
              <w:right w:type="dxa" w:w="100"/>
            </w:tcMar>
            <w:vAlign w:val="center"/>
          </w:tcPr>
          <w:p>
            <w:r>
              <w:rPr>
                <w:rFonts w:ascii="Calibri" w:cs="Calibri" w:eastAsia="Calibri" w:hAnsi="Calibri"/>
                <w:b/>
                <w:bCs/>
                <w:i w:val="false"/>
                <w:iCs w:val="false"/>
                <w:color w:val="FFFFFF"/>
                <w:sz w:val="20"/>
                <w:szCs w:val="20"/>
              </w:rPr>
              <w:t xml:space="preserve">AI System</w:t>
            </w:r>
          </w:p>
        </w:tc>
        <w:tc>
          <w:tcPr>
            <w:tcW w:type="dxa" w:w="2200"/>
            <w:shd w:fill="1F3864" w:val="clear"/>
            <w:tcMar>
              <w:top w:type="dxa" w:w="80"/>
              <w:left w:type="dxa" w:w="100"/>
              <w:bottom w:type="dxa" w:w="80"/>
              <w:right w:type="dxa" w:w="100"/>
            </w:tcMar>
            <w:vAlign w:val="center"/>
          </w:tcPr>
          <w:p>
            <w:r>
              <w:rPr>
                <w:rFonts w:ascii="Calibri" w:cs="Calibri" w:eastAsia="Calibri" w:hAnsi="Calibri"/>
                <w:b/>
                <w:bCs/>
                <w:i w:val="false"/>
                <w:iCs w:val="false"/>
                <w:color w:val="FFFFFF"/>
                <w:sz w:val="20"/>
                <w:szCs w:val="20"/>
              </w:rPr>
              <w:t xml:space="preserve">Provider</w:t>
            </w:r>
          </w:p>
        </w:tc>
        <w:tc>
          <w:tcPr>
            <w:tcW w:type="dxa" w:w="2360"/>
            <w:shd w:fill="1F3864" w:val="clear"/>
            <w:tcMar>
              <w:top w:type="dxa" w:w="80"/>
              <w:left w:type="dxa" w:w="100"/>
              <w:bottom w:type="dxa" w:w="80"/>
              <w:right w:type="dxa" w:w="100"/>
            </w:tcMar>
            <w:vAlign w:val="center"/>
          </w:tcPr>
          <w:p>
            <w:r>
              <w:rPr>
                <w:rFonts w:ascii="Calibri" w:cs="Calibri" w:eastAsia="Calibri" w:hAnsi="Calibri"/>
                <w:b/>
                <w:bCs/>
                <w:i w:val="false"/>
                <w:iCs w:val="false"/>
                <w:color w:val="FFFFFF"/>
                <w:sz w:val="20"/>
                <w:szCs w:val="20"/>
              </w:rPr>
              <w:t xml:space="preserve">Purpose</w:t>
            </w:r>
          </w:p>
        </w:tc>
        <w:tc>
          <w:tcPr>
            <w:tcW w:type="dxa" w:w="2000"/>
            <w:shd w:fill="1F3864" w:val="clear"/>
            <w:tcMar>
              <w:top w:type="dxa" w:w="80"/>
              <w:left w:type="dxa" w:w="100"/>
              <w:bottom w:type="dxa" w:w="80"/>
              <w:right w:type="dxa" w:w="100"/>
            </w:tcMar>
            <w:vAlign w:val="center"/>
          </w:tcPr>
          <w:p>
            <w:r>
              <w:rPr>
                <w:rFonts w:ascii="Calibri" w:cs="Calibri" w:eastAsia="Calibri" w:hAnsi="Calibri"/>
                <w:b/>
                <w:bCs/>
                <w:i w:val="false"/>
                <w:iCs w:val="false"/>
                <w:color w:val="FFFFFF"/>
                <w:sz w:val="20"/>
                <w:szCs w:val="20"/>
              </w:rPr>
              <w:t xml:space="preserve">Personal Data Involved</w:t>
            </w:r>
          </w:p>
        </w:tc>
      </w:tr>
      <w:tr>
        <w:tc>
          <w:tcPr>
            <w:tcW w:type="dxa" w:w="280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[e.g., Support ticket summarization]</w:t>
            </w:r>
          </w:p>
        </w:tc>
        <w:tc>
          <w:tcPr>
            <w:tcW w:type="dxa" w:w="220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[e.g., In-house / Vendor name]</w:t>
            </w:r>
          </w:p>
        </w:tc>
        <w:tc>
          <w:tcPr>
            <w:tcW w:type="dxa" w:w="236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[e.g., Drafting suggested replies]</w:t>
            </w:r>
          </w:p>
        </w:tc>
        <w:tc>
          <w:tcPr>
            <w:tcW w:type="dxa" w:w="200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[e.g., Ticket text, customer email]</w:t>
            </w:r>
          </w:p>
        </w:tc>
      </w:tr>
      <w:tr>
        <w:tc>
          <w:tcPr>
            <w:tcW w:type="dxa" w:w="280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[Add rows as needed]</w:t>
            </w:r>
          </w:p>
        </w:tc>
        <w:tc>
          <w:tcPr>
            <w:tcW w:type="dxa" w:w="220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
            </w:r>
          </w:p>
        </w:tc>
        <w:tc>
          <w:tcPr>
            <w:tcW w:type="dxa" w:w="236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
            </w:r>
          </w:p>
        </w:tc>
        <w:tc>
          <w:tcPr>
            <w:tcW w:type="dxa" w:w="2000"/>
            <w:tcMar>
              <w:top w:type="dxa" w:w="80"/>
              <w:left w:type="dxa" w:w="100"/>
              <w:bottom w:type="dxa" w:w="80"/>
              <w:right w:type="dxa" w:w="100"/>
            </w:tcMar>
            <w:vAlign w:val="center"/>
          </w:tcPr>
          <w:p>
            <w:r>
              <w:rPr>
                <w:rFonts w:ascii="Calibri" w:cs="Calibri" w:eastAsia="Calibri" w:hAnsi="Calibri"/>
                <w:b w:val="false"/>
                <w:bCs w:val="false"/>
                <w:i/>
                <w:iCs/>
                <w:color w:val="000000"/>
                <w:sz w:val="20"/>
                <w:szCs w:val="20"/>
              </w:rPr>
              <w:t xml:space="preserve"/>
            </w:r>
          </w:p>
        </w:tc>
      </w:tr>
    </w:tbl>
    <w:p>
      <w:pPr>
        <w:pStyle w:val="Heading2"/>
        <w:spacing w:after="120" w:before="200"/>
      </w:pPr>
      <w:r>
        <w:rPr>
          <w:rFonts w:ascii="Calibri" w:cs="Calibri" w:eastAsia="Calibri" w:hAnsi="Calibri"/>
          <w:b/>
          <w:bCs/>
          <w:color w:val="1F3864"/>
          <w:sz w:val="23"/>
          <w:szCs w:val="23"/>
        </w:rPr>
        <w:t xml:space="preserve">D.2 No Training on Controller's Data Without Consent</w:t>
      </w:r>
    </w:p>
    <w:p>
      <w:pPr>
        <w:tabs>
          <w:tab w:val="left" w:pos="431"/>
        </w:tabs>
        <w:spacing w:after="140"/>
        <w:ind w:left="431" w:hanging="431"/>
      </w:pPr>
      <w:r>
        <w:rPr>
          <w:rFonts w:ascii="Calibri" w:cs="Calibri" w:eastAsia="Calibri" w:hAnsi="Calibri"/>
          <w:b/>
          <w:bCs/>
        </w:rPr>
        <w:t xml:space="preserve">D.2.1	</w:t>
      </w:r>
      <w:r>
        <w:rPr>
          <w:rFonts w:ascii="Calibri" w:cs="Calibri" w:eastAsia="Calibri" w:hAnsi="Calibri"/>
        </w:rPr>
        <w:t xml:space="preserve">The Processor shall not use Personal Data processed under this Agreement to train, fine-tune, or otherwise improve any AI System — including any foundation or base model operated by an AI System Provider — unless the Controller has given prior written consent specific to that use.</w:t>
      </w:r>
    </w:p>
    <w:p>
      <w:pPr>
        <w:tabs>
          <w:tab w:val="left" w:pos="431"/>
        </w:tabs>
        <w:spacing w:after="140"/>
        <w:ind w:left="431" w:hanging="431"/>
      </w:pPr>
      <w:r>
        <w:rPr>
          <w:rFonts w:ascii="Calibri" w:cs="Calibri" w:eastAsia="Calibri" w:hAnsi="Calibri"/>
          <w:b/>
          <w:bCs/>
        </w:rPr>
        <w:t xml:space="preserve">D.2.2	</w:t>
      </w:r>
      <w:r>
        <w:rPr>
          <w:rFonts w:ascii="Calibri" w:cs="Calibri" w:eastAsia="Calibri" w:hAnsi="Calibri"/>
        </w:rPr>
        <w:t xml:space="preserve">Where the Controller has not given such consent, the Processor shall ensure that any AI System Provider it engages is contractually prohibited from training on, or retaining for training purposes, Personal Data submitted in the course of providing the services, and shall use an opt-out, zero-data-retention, or enterprise/API-tier configuration where offered by the AI System Provider for this purpose.</w:t>
      </w:r>
    </w:p>
    <w:p>
      <w:pPr>
        <w:pStyle w:val="Heading2"/>
        <w:spacing w:after="120" w:before="200"/>
      </w:pPr>
      <w:r>
        <w:rPr>
          <w:rFonts w:ascii="Calibri" w:cs="Calibri" w:eastAsia="Calibri" w:hAnsi="Calibri"/>
          <w:b/>
          <w:bCs/>
          <w:color w:val="1F3864"/>
          <w:sz w:val="23"/>
          <w:szCs w:val="23"/>
        </w:rPr>
        <w:t xml:space="preserve">D.3 AI Sub-processor and Model Disclosure</w:t>
      </w:r>
    </w:p>
    <w:p>
      <w:pPr>
        <w:tabs>
          <w:tab w:val="left" w:pos="431"/>
        </w:tabs>
        <w:spacing w:after="140"/>
        <w:ind w:left="431" w:hanging="431"/>
      </w:pPr>
      <w:r>
        <w:rPr>
          <w:rFonts w:ascii="Calibri" w:cs="Calibri" w:eastAsia="Calibri" w:hAnsi="Calibri"/>
          <w:b/>
          <w:bCs/>
        </w:rPr>
        <w:t xml:space="preserve">D.3.1	</w:t>
      </w:r>
      <w:r>
        <w:rPr>
          <w:rFonts w:ascii="Calibri" w:cs="Calibri" w:eastAsia="Calibri" w:hAnsi="Calibri"/>
        </w:rPr>
        <w:t xml:space="preserve">The Processor shall identify, in </w:t>
      </w:r>
      <w:r>
        <w:rPr>
          <w:rFonts w:ascii="Calibri" w:cs="Calibri" w:eastAsia="Calibri" w:hAnsi="Calibri"/>
          <w:b/>
          <w:bCs/>
        </w:rPr>
        <w:t xml:space="preserve">Annex B</w:t>
      </w:r>
      <w:r>
        <w:rPr>
          <w:rFonts w:ascii="Calibri" w:cs="Calibri" w:eastAsia="Calibri" w:hAnsi="Calibri"/>
        </w:rPr>
        <w:t xml:space="preserve"> and Section D.1 above, every AI System Provider and underlying foundation model used to Process Personal Data under this Agreement, and shall notify the Controller before introducing a new AI System or materially changing an existing one in a manner that affects the Processing of Personal Data.</w:t>
      </w:r>
    </w:p>
    <w:p>
      <w:pPr>
        <w:tabs>
          <w:tab w:val="left" w:pos="431"/>
        </w:tabs>
        <w:spacing w:after="140"/>
        <w:ind w:left="431" w:hanging="431"/>
      </w:pPr>
      <w:r>
        <w:rPr>
          <w:rFonts w:ascii="Calibri" w:cs="Calibri" w:eastAsia="Calibri" w:hAnsi="Calibri"/>
          <w:b/>
          <w:bCs/>
        </w:rPr>
        <w:t xml:space="preserve">D.3.2	</w:t>
      </w:r>
      <w:r>
        <w:rPr>
          <w:rFonts w:ascii="Calibri" w:cs="Calibri" w:eastAsia="Calibri" w:hAnsi="Calibri"/>
        </w:rPr>
        <w:t xml:space="preserve">The Processor shall, upon reasonable request, provide the Controller with available documentation regarding the AI System’s known limitations, intended use, and any human oversight mechanisms applicable to its output.</w:t>
      </w:r>
    </w:p>
    <w:p>
      <w:pPr>
        <w:pStyle w:val="Heading2"/>
        <w:spacing w:after="120" w:before="200"/>
      </w:pPr>
      <w:r>
        <w:rPr>
          <w:rFonts w:ascii="Calibri" w:cs="Calibri" w:eastAsia="Calibri" w:hAnsi="Calibri"/>
          <w:b/>
          <w:bCs/>
          <w:color w:val="1F3864"/>
          <w:sz w:val="23"/>
          <w:szCs w:val="23"/>
        </w:rPr>
        <w:t xml:space="preserve">D.4 AI-Generated Output</w:t>
      </w:r>
    </w:p>
    <w:p>
      <w:pPr>
        <w:tabs>
          <w:tab w:val="left" w:pos="431"/>
        </w:tabs>
        <w:spacing w:after="140"/>
        <w:ind w:left="431" w:hanging="431"/>
      </w:pPr>
      <w:r>
        <w:rPr>
          <w:rFonts w:ascii="Calibri" w:cs="Calibri" w:eastAsia="Calibri" w:hAnsi="Calibri"/>
          <w:b/>
          <w:bCs/>
        </w:rPr>
        <w:t xml:space="preserve">D.4.1	</w:t>
      </w:r>
      <w:r>
        <w:rPr>
          <w:rFonts w:ascii="Calibri" w:cs="Calibri" w:eastAsia="Calibri" w:hAnsi="Calibri"/>
        </w:rPr>
        <w:t xml:space="preserve">Any output generated by an AI System using, or derived from, Personal Data processed under this Agreement (“</w:t>
      </w:r>
      <w:r>
        <w:rPr>
          <w:rFonts w:ascii="Calibri" w:cs="Calibri" w:eastAsia="Calibri" w:hAnsi="Calibri"/>
          <w:b/>
          <w:bCs/>
        </w:rPr>
        <w:t xml:space="preserve">AI Output</w:t>
      </w:r>
      <w:r>
        <w:rPr>
          <w:rFonts w:ascii="Calibri" w:cs="Calibri" w:eastAsia="Calibri" w:hAnsi="Calibri"/>
        </w:rPr>
        <w:t xml:space="preserve">”) shall itself be treated as Personal Data for the purposes of this Agreement for so long as it relates to an identified or identifiable Data Subject, and shall be subject to the same security, confidentiality, deletion, and data subject rights obligations as the underlying Personal Data.</w:t>
      </w:r>
    </w:p>
    <w:p>
      <w:pPr>
        <w:pStyle w:val="Heading2"/>
        <w:spacing w:after="120" w:before="200"/>
      </w:pPr>
      <w:r>
        <w:rPr>
          <w:rFonts w:ascii="Calibri" w:cs="Calibri" w:eastAsia="Calibri" w:hAnsi="Calibri"/>
          <w:b/>
          <w:bCs/>
          <w:color w:val="1F3864"/>
          <w:sz w:val="23"/>
          <w:szCs w:val="23"/>
        </w:rPr>
        <w:t xml:space="preserve">D.5 Human Oversight</w:t>
      </w:r>
    </w:p>
    <w:p>
      <w:pPr>
        <w:tabs>
          <w:tab w:val="left" w:pos="431"/>
        </w:tabs>
        <w:spacing w:after="140"/>
        <w:ind w:left="431" w:hanging="431"/>
      </w:pPr>
      <w:r>
        <w:rPr>
          <w:rFonts w:ascii="Calibri" w:cs="Calibri" w:eastAsia="Calibri" w:hAnsi="Calibri"/>
          <w:b/>
          <w:bCs/>
        </w:rPr>
        <w:t xml:space="preserve">D.5.1	</w:t>
      </w:r>
      <w:r>
        <w:rPr>
          <w:rFonts w:ascii="Calibri" w:cs="Calibri" w:eastAsia="Calibri" w:hAnsi="Calibri"/>
        </w:rPr>
        <w:t xml:space="preserve">Where an AI System is used to make or materially inform a decision that produces legal effects concerning a Data Subject or similarly significantly affects them, the Processor shall ensure appropriate human oversight is available and shall not represent that such a decision is made without meaningful human involvement, except where otherwise agreed in writing by the Controller and permitted under applicable law.</w:t>
      </w:r>
    </w:p>
    <w:p>
      <w:pPr>
        <w:pStyle w:val="Heading2"/>
        <w:spacing w:after="120" w:before="200"/>
      </w:pPr>
      <w:r>
        <w:rPr>
          <w:rFonts w:ascii="Calibri" w:cs="Calibri" w:eastAsia="Calibri" w:hAnsi="Calibri"/>
          <w:b/>
          <w:bCs/>
          <w:color w:val="1F3864"/>
          <w:sz w:val="23"/>
          <w:szCs w:val="23"/>
        </w:rPr>
        <w:t xml:space="preserve">D.6 Right to Request Removal from an AI System</w:t>
      </w:r>
    </w:p>
    <w:p>
      <w:pPr>
        <w:tabs>
          <w:tab w:val="left" w:pos="431"/>
        </w:tabs>
        <w:spacing w:after="140"/>
        <w:ind w:left="431" w:hanging="431"/>
      </w:pPr>
      <w:r>
        <w:rPr>
          <w:rFonts w:ascii="Calibri" w:cs="Calibri" w:eastAsia="Calibri" w:hAnsi="Calibri"/>
          <w:b/>
          <w:bCs/>
        </w:rPr>
        <w:t xml:space="preserve">D.6.1	</w:t>
      </w:r>
      <w:r>
        <w:rPr>
          <w:rFonts w:ascii="Calibri" w:cs="Calibri" w:eastAsia="Calibri" w:hAnsi="Calibri"/>
        </w:rPr>
        <w:t xml:space="preserve">Where technically feasible and consistent with applicable law, the Processor shall provide reasonable assistance to the Controller to give effect to a Data Subject’s exercise of their rights under Section 5 of this Agreement with respect to Personal Data that has been incorporated into an AI System’s training data, to the extent such incorporation occurred in breach of Section D.2.</w:t>
      </w:r>
    </w:p>
    <w:p>
      <w:pPr>
        <w:pBdr>
          <w:bottom w:val="single" w:color="BFBFBF" w:sz="6"/>
        </w:pBdr>
        <w:spacing w:after="120" w:before="120"/>
      </w:pPr>
    </w:p>
    <w:p>
      <w:pPr>
        <w:spacing w:after="160"/>
      </w:pPr>
      <w:r>
        <w:rPr>
          <w:rFonts w:ascii="Calibri" w:cs="Calibri" w:eastAsia="Calibri" w:hAnsi="Calibri"/>
          <w:i/>
          <w:iCs/>
          <w:color w:val="595959"/>
        </w:rPr>
        <w:t xml:space="preserve">End of Annex D. This Annex D forms part of the Agreement and is subject to the same governing law, liability, and termination provisions set out in Sections 10–12 above.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6"/>
        <w:szCs w:val="16"/>
      </w:rPr>
      <w:t xml:space="preserve">Page </w:t>
    </w:r>
    <w:r>
      <w:rPr>
        <w:rFonts w:ascii="Calibri" w:cs="Calibri" w:eastAsia="Calibri" w:hAnsi="Calibri"/>
        <w:color w:val="595959"/>
        <w:sz w:val="16"/>
        <w:szCs w:val="16"/>
      </w:rPr>
      <w:fldChar w:fldCharType="begin"/>
      <w:instrText xml:space="preserve">PAGE</w:instrText>
      <w:fldChar w:fldCharType="separate"/>
      <w:fldChar w:fldCharType="end"/>
    </w:r>
    <w:r>
      <w:rPr>
        <w:rFonts w:ascii="Calibri" w:cs="Calibri" w:eastAsia="Calibri" w:hAnsi="Calibri"/>
        <w:color w:val="595959"/>
        <w:sz w:val="16"/>
        <w:szCs w:val="16"/>
      </w:rPr>
      <w:t xml:space="preserve"> of </w:t>
    </w:r>
    <w:r>
      <w:rPr>
        <w:rFonts w:ascii="Calibri" w:cs="Calibri" w:eastAsia="Calibri" w:hAnsi="Calibri"/>
        <w:color w:val="59595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595959"/>
        <w:sz w:val="16"/>
        <w:szCs w:val="16"/>
      </w:rPr>
      <w:t xml:space="preserve">Data Processing Agreement —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2026-10-07T09:34:30.790Z</dcterms:created>
  <dcterms:modified xsi:type="dcterms:W3CDTF">2026-10-07T09:34:30.790Z</dcterms:modified>
</cp:coreProperties>
</file>

<file path=docProps/custom.xml><?xml version="1.0" encoding="utf-8"?>
<Properties xmlns="http://schemas.openxmlformats.org/officeDocument/2006/custom-properties" xmlns:vt="http://schemas.openxmlformats.org/officeDocument/2006/docPropsVTypes"/>
</file>